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B8ED" w14:textId="77777777" w:rsidR="00190E9E" w:rsidRDefault="00190E9E" w:rsidP="00A02065">
      <w:pPr>
        <w:rPr>
          <w:rFonts w:asciiTheme="minorHAnsi" w:hAnsiTheme="minorHAnsi"/>
          <w:b/>
          <w:sz w:val="28"/>
          <w:szCs w:val="22"/>
        </w:rPr>
      </w:pPr>
      <w:bookmarkStart w:id="0" w:name="_Hlk505783152"/>
      <w:bookmarkEnd w:id="0"/>
    </w:p>
    <w:p w14:paraId="62EB3F9A" w14:textId="77777777" w:rsidR="00190E9E" w:rsidRDefault="00190E9E" w:rsidP="00A02065">
      <w:pPr>
        <w:rPr>
          <w:rFonts w:asciiTheme="minorHAnsi" w:hAnsiTheme="minorHAnsi"/>
          <w:b/>
          <w:sz w:val="28"/>
          <w:szCs w:val="22"/>
        </w:rPr>
      </w:pPr>
    </w:p>
    <w:p w14:paraId="75F3D92C" w14:textId="77777777" w:rsidR="00190E9E" w:rsidRDefault="00190E9E" w:rsidP="00A02065">
      <w:pPr>
        <w:rPr>
          <w:rFonts w:asciiTheme="minorHAnsi" w:hAnsiTheme="minorHAnsi"/>
          <w:b/>
          <w:sz w:val="28"/>
          <w:szCs w:val="22"/>
        </w:rPr>
      </w:pPr>
    </w:p>
    <w:p w14:paraId="26DF7235" w14:textId="77777777" w:rsidR="00190E9E" w:rsidRDefault="00190E9E" w:rsidP="00A02065">
      <w:pPr>
        <w:rPr>
          <w:rFonts w:asciiTheme="minorHAnsi" w:hAnsiTheme="minorHAnsi"/>
          <w:b/>
          <w:sz w:val="28"/>
          <w:szCs w:val="22"/>
        </w:rPr>
      </w:pPr>
    </w:p>
    <w:p w14:paraId="652D3398" w14:textId="77777777" w:rsidR="00190E9E" w:rsidRDefault="00190E9E" w:rsidP="00A02065">
      <w:pPr>
        <w:rPr>
          <w:rFonts w:asciiTheme="minorHAnsi" w:hAnsiTheme="minorHAnsi"/>
          <w:b/>
          <w:sz w:val="28"/>
          <w:szCs w:val="22"/>
        </w:rPr>
      </w:pPr>
    </w:p>
    <w:p w14:paraId="1C065EAF" w14:textId="77777777" w:rsidR="0075402E" w:rsidRPr="009B6007" w:rsidRDefault="0075402E" w:rsidP="0075402E">
      <w:pPr>
        <w:jc w:val="center"/>
        <w:rPr>
          <w:rFonts w:asciiTheme="minorHAnsi" w:hAnsiTheme="minorHAnsi"/>
          <w:b/>
          <w:sz w:val="40"/>
          <w:szCs w:val="22"/>
        </w:rPr>
      </w:pPr>
      <w:r>
        <w:rPr>
          <w:rFonts w:asciiTheme="minorHAnsi" w:hAnsiTheme="minorHAnsi"/>
          <w:b/>
          <w:sz w:val="40"/>
          <w:szCs w:val="22"/>
        </w:rPr>
        <w:t>Alcohol Use in New Mexico</w:t>
      </w:r>
    </w:p>
    <w:p w14:paraId="12212DFB" w14:textId="49E0A44E" w:rsidR="00A02065" w:rsidRPr="00190E9E" w:rsidRDefault="00BC3FE3" w:rsidP="00190E9E">
      <w:pPr>
        <w:jc w:val="center"/>
        <w:rPr>
          <w:rFonts w:asciiTheme="minorHAnsi" w:hAnsiTheme="minorHAnsi"/>
          <w:b/>
          <w:sz w:val="40"/>
          <w:szCs w:val="22"/>
        </w:rPr>
      </w:pPr>
      <w:r>
        <w:rPr>
          <w:rFonts w:asciiTheme="minorHAnsi" w:hAnsiTheme="minorHAnsi"/>
          <w:b/>
          <w:sz w:val="40"/>
          <w:szCs w:val="22"/>
        </w:rPr>
        <w:t>Alcoholic Liver Disease</w:t>
      </w:r>
    </w:p>
    <w:p w14:paraId="1DEDAEE8" w14:textId="77777777" w:rsidR="00D05A17" w:rsidRDefault="00D05A17" w:rsidP="00A02065">
      <w:pPr>
        <w:rPr>
          <w:rFonts w:asciiTheme="minorHAnsi" w:hAnsiTheme="minorHAnsi"/>
          <w:sz w:val="22"/>
          <w:szCs w:val="22"/>
        </w:rPr>
      </w:pPr>
    </w:p>
    <w:p w14:paraId="425BC104" w14:textId="77777777" w:rsidR="00190E9E" w:rsidRDefault="00190E9E" w:rsidP="00A02065">
      <w:pPr>
        <w:rPr>
          <w:rFonts w:asciiTheme="minorHAnsi" w:hAnsiTheme="minorHAnsi"/>
          <w:sz w:val="22"/>
          <w:szCs w:val="22"/>
        </w:rPr>
      </w:pPr>
    </w:p>
    <w:p w14:paraId="55087BE9" w14:textId="77777777" w:rsidR="00190E9E" w:rsidRDefault="00190E9E" w:rsidP="00A02065">
      <w:pPr>
        <w:rPr>
          <w:rFonts w:asciiTheme="minorHAnsi" w:hAnsiTheme="minorHAnsi"/>
          <w:sz w:val="22"/>
          <w:szCs w:val="22"/>
        </w:rPr>
      </w:pPr>
    </w:p>
    <w:p w14:paraId="41868218" w14:textId="77777777" w:rsidR="00190E9E" w:rsidRDefault="00190E9E" w:rsidP="00A02065">
      <w:pPr>
        <w:rPr>
          <w:rFonts w:asciiTheme="minorHAnsi" w:hAnsiTheme="minorHAnsi"/>
          <w:sz w:val="22"/>
          <w:szCs w:val="22"/>
        </w:rPr>
      </w:pPr>
    </w:p>
    <w:p w14:paraId="6039B480" w14:textId="77777777" w:rsidR="00190E9E" w:rsidRDefault="00BC3FE3" w:rsidP="00190E9E">
      <w:pPr>
        <w:jc w:val="center"/>
        <w:rPr>
          <w:rFonts w:asciiTheme="minorHAnsi" w:hAnsiTheme="minorHAnsi"/>
          <w:sz w:val="22"/>
          <w:szCs w:val="22"/>
        </w:rPr>
      </w:pPr>
      <w:r>
        <w:rPr>
          <w:noProof/>
        </w:rPr>
        <w:drawing>
          <wp:inline distT="0" distB="0" distL="0" distR="0" wp14:anchorId="585B24B4" wp14:editId="3B9BEF53">
            <wp:extent cx="4585028" cy="3116580"/>
            <wp:effectExtent l="0" t="0" r="6350" b="7620"/>
            <wp:docPr id="4" name="Picture 4" descr="C:\Users\tswer\AppData\Local\Microsoft\Windows\INetCache\Content.Word\Alcohol_Liver_Disea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wer\AppData\Local\Microsoft\Windows\INetCache\Content.Word\Alcohol_Liver_Diseas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0635" cy="3120392"/>
                    </a:xfrm>
                    <a:prstGeom prst="rect">
                      <a:avLst/>
                    </a:prstGeom>
                    <a:noFill/>
                    <a:ln>
                      <a:noFill/>
                    </a:ln>
                  </pic:spPr>
                </pic:pic>
              </a:graphicData>
            </a:graphic>
          </wp:inline>
        </w:drawing>
      </w:r>
    </w:p>
    <w:p w14:paraId="20CE6DEA" w14:textId="77777777" w:rsidR="00190E9E" w:rsidRDefault="00190E9E" w:rsidP="00A02065">
      <w:pPr>
        <w:rPr>
          <w:rFonts w:asciiTheme="minorHAnsi" w:hAnsiTheme="minorHAnsi"/>
          <w:sz w:val="22"/>
          <w:szCs w:val="22"/>
        </w:rPr>
      </w:pPr>
    </w:p>
    <w:p w14:paraId="2A5B7490" w14:textId="77777777" w:rsidR="00DD24D8" w:rsidRDefault="00DD24D8" w:rsidP="00A02065">
      <w:pPr>
        <w:rPr>
          <w:rFonts w:asciiTheme="minorHAnsi" w:hAnsiTheme="minorHAnsi"/>
          <w:sz w:val="22"/>
          <w:szCs w:val="22"/>
        </w:rPr>
      </w:pPr>
    </w:p>
    <w:p w14:paraId="119387E4" w14:textId="77777777" w:rsidR="00DD24D8" w:rsidRDefault="00DD24D8" w:rsidP="00A02065">
      <w:pPr>
        <w:rPr>
          <w:rFonts w:asciiTheme="minorHAnsi" w:hAnsiTheme="minorHAnsi"/>
          <w:sz w:val="22"/>
          <w:szCs w:val="22"/>
        </w:rPr>
      </w:pPr>
    </w:p>
    <w:p w14:paraId="63D0E58E" w14:textId="77777777" w:rsidR="00DD24D8" w:rsidRDefault="00DD24D8" w:rsidP="00A02065">
      <w:pPr>
        <w:rPr>
          <w:rFonts w:asciiTheme="minorHAnsi" w:hAnsiTheme="minorHAnsi"/>
          <w:sz w:val="22"/>
          <w:szCs w:val="22"/>
        </w:rPr>
      </w:pPr>
    </w:p>
    <w:p w14:paraId="60036D79" w14:textId="77777777" w:rsidR="00DD24D8" w:rsidRDefault="00DD24D8" w:rsidP="00A02065">
      <w:pPr>
        <w:rPr>
          <w:rFonts w:asciiTheme="minorHAnsi" w:hAnsiTheme="minorHAnsi"/>
          <w:sz w:val="22"/>
          <w:szCs w:val="22"/>
        </w:rPr>
      </w:pPr>
    </w:p>
    <w:p w14:paraId="7E8BA294" w14:textId="77777777" w:rsidR="00DD24D8" w:rsidRDefault="00DD24D8" w:rsidP="00A02065">
      <w:pPr>
        <w:rPr>
          <w:rFonts w:asciiTheme="minorHAnsi" w:hAnsiTheme="minorHAnsi"/>
          <w:sz w:val="22"/>
          <w:szCs w:val="22"/>
        </w:rPr>
      </w:pPr>
    </w:p>
    <w:p w14:paraId="4DE90FFC" w14:textId="77777777" w:rsidR="00DD24D8" w:rsidRDefault="00DD24D8" w:rsidP="00A02065">
      <w:pPr>
        <w:rPr>
          <w:rFonts w:asciiTheme="minorHAnsi" w:hAnsiTheme="minorHAnsi"/>
          <w:sz w:val="22"/>
          <w:szCs w:val="22"/>
        </w:rPr>
      </w:pPr>
    </w:p>
    <w:p w14:paraId="2EED6DA5" w14:textId="77777777" w:rsidR="00935702" w:rsidRDefault="00935702" w:rsidP="00935702">
      <w:pPr>
        <w:spacing w:line="259" w:lineRule="auto"/>
        <w:jc w:val="center"/>
        <w:rPr>
          <w:rFonts w:asciiTheme="minorHAnsi" w:hAnsiTheme="minorHAnsi"/>
          <w:b/>
          <w:sz w:val="28"/>
          <w:szCs w:val="22"/>
        </w:rPr>
      </w:pPr>
      <w:r>
        <w:rPr>
          <w:rFonts w:asciiTheme="minorHAnsi" w:hAnsiTheme="minorHAnsi"/>
          <w:b/>
          <w:sz w:val="28"/>
          <w:szCs w:val="22"/>
        </w:rPr>
        <w:t xml:space="preserve">New Mexico </w:t>
      </w:r>
      <w:r w:rsidRPr="00190E9E">
        <w:rPr>
          <w:rFonts w:asciiTheme="minorHAnsi" w:hAnsiTheme="minorHAnsi"/>
          <w:b/>
          <w:sz w:val="28"/>
          <w:szCs w:val="22"/>
        </w:rPr>
        <w:t xml:space="preserve">Statewide Epidemiological Outcomes Workgroup </w:t>
      </w:r>
    </w:p>
    <w:p w14:paraId="65941853" w14:textId="77777777" w:rsidR="00935702" w:rsidRPr="00190E9E" w:rsidRDefault="00935702" w:rsidP="00935702">
      <w:pPr>
        <w:spacing w:line="259" w:lineRule="auto"/>
        <w:jc w:val="center"/>
        <w:rPr>
          <w:rFonts w:asciiTheme="minorHAnsi" w:hAnsiTheme="minorHAnsi"/>
          <w:b/>
          <w:sz w:val="28"/>
          <w:szCs w:val="22"/>
        </w:rPr>
      </w:pPr>
      <w:r w:rsidRPr="00190E9E">
        <w:rPr>
          <w:rFonts w:asciiTheme="minorHAnsi" w:hAnsiTheme="minorHAnsi"/>
          <w:b/>
          <w:sz w:val="28"/>
          <w:szCs w:val="22"/>
        </w:rPr>
        <w:t>White Paper Series</w:t>
      </w:r>
    </w:p>
    <w:p w14:paraId="7D7609A1" w14:textId="77777777" w:rsidR="00935702" w:rsidRDefault="00935702" w:rsidP="00935702">
      <w:pPr>
        <w:spacing w:after="160" w:line="259" w:lineRule="auto"/>
        <w:jc w:val="center"/>
        <w:rPr>
          <w:rFonts w:asciiTheme="minorHAnsi" w:hAnsiTheme="minorHAnsi"/>
          <w:szCs w:val="22"/>
        </w:rPr>
      </w:pPr>
    </w:p>
    <w:p w14:paraId="345C71C1" w14:textId="77777777" w:rsidR="00935702" w:rsidRPr="00190E9E" w:rsidRDefault="00935702" w:rsidP="00935702">
      <w:pPr>
        <w:spacing w:after="160" w:line="259" w:lineRule="auto"/>
        <w:jc w:val="center"/>
        <w:rPr>
          <w:rFonts w:asciiTheme="minorHAnsi" w:hAnsiTheme="minorHAnsi"/>
          <w:szCs w:val="22"/>
        </w:rPr>
      </w:pPr>
      <w:r>
        <w:rPr>
          <w:rFonts w:asciiTheme="minorHAnsi" w:hAnsiTheme="minorHAnsi"/>
          <w:szCs w:val="22"/>
        </w:rPr>
        <w:t>November 16, 2017</w:t>
      </w:r>
    </w:p>
    <w:p w14:paraId="5984D426" w14:textId="77777777" w:rsidR="00935702" w:rsidRDefault="00935702" w:rsidP="00935702">
      <w:pPr>
        <w:spacing w:line="259" w:lineRule="auto"/>
        <w:jc w:val="center"/>
        <w:rPr>
          <w:rFonts w:asciiTheme="minorHAnsi" w:hAnsiTheme="minorHAnsi"/>
          <w:i/>
          <w:szCs w:val="22"/>
        </w:rPr>
      </w:pPr>
      <w:r w:rsidRPr="00190E9E">
        <w:rPr>
          <w:rFonts w:asciiTheme="minorHAnsi" w:hAnsiTheme="minorHAnsi"/>
          <w:i/>
          <w:szCs w:val="22"/>
        </w:rPr>
        <w:t>Produced by Coop Consultin</w:t>
      </w:r>
      <w:r>
        <w:rPr>
          <w:rFonts w:asciiTheme="minorHAnsi" w:hAnsiTheme="minorHAnsi"/>
          <w:i/>
          <w:szCs w:val="22"/>
        </w:rPr>
        <w:t>g, Inc.</w:t>
      </w:r>
      <w:r w:rsidRPr="00190E9E">
        <w:rPr>
          <w:rFonts w:asciiTheme="minorHAnsi" w:hAnsiTheme="minorHAnsi"/>
          <w:i/>
          <w:szCs w:val="22"/>
        </w:rPr>
        <w:t xml:space="preserve"> </w:t>
      </w:r>
      <w:r>
        <w:rPr>
          <w:rFonts w:asciiTheme="minorHAnsi" w:hAnsiTheme="minorHAnsi"/>
          <w:i/>
          <w:szCs w:val="22"/>
        </w:rPr>
        <w:t>on behalf of the</w:t>
      </w:r>
    </w:p>
    <w:p w14:paraId="57CBAA3E" w14:textId="77777777" w:rsidR="00935702" w:rsidRDefault="00935702" w:rsidP="00935702">
      <w:pPr>
        <w:spacing w:line="259" w:lineRule="auto"/>
        <w:jc w:val="center"/>
        <w:rPr>
          <w:rFonts w:asciiTheme="minorHAnsi" w:hAnsiTheme="minorHAnsi"/>
          <w:b/>
          <w:i/>
          <w:sz w:val="22"/>
          <w:szCs w:val="22"/>
        </w:rPr>
      </w:pPr>
      <w:r>
        <w:rPr>
          <w:rFonts w:asciiTheme="minorHAnsi" w:hAnsiTheme="minorHAnsi"/>
          <w:i/>
          <w:szCs w:val="22"/>
        </w:rPr>
        <w:t xml:space="preserve"> New Mexico </w:t>
      </w:r>
      <w:r w:rsidRPr="00421F5D">
        <w:rPr>
          <w:rFonts w:asciiTheme="minorHAnsi" w:hAnsiTheme="minorHAnsi"/>
          <w:i/>
          <w:szCs w:val="22"/>
        </w:rPr>
        <w:t>Statewide Epidemiological Outcomes Workgroup</w:t>
      </w:r>
      <w:r w:rsidRPr="00190E9E">
        <w:rPr>
          <w:rFonts w:asciiTheme="minorHAnsi" w:hAnsiTheme="minorHAnsi"/>
          <w:b/>
          <w:i/>
          <w:sz w:val="22"/>
          <w:szCs w:val="22"/>
        </w:rPr>
        <w:t xml:space="preserve"> </w:t>
      </w:r>
    </w:p>
    <w:p w14:paraId="2FDA23C3" w14:textId="77777777" w:rsidR="00935702" w:rsidRPr="00292A07" w:rsidRDefault="00935702" w:rsidP="00935702">
      <w:pPr>
        <w:rPr>
          <w:rFonts w:ascii="Calibri" w:eastAsia="Calibri" w:hAnsi="Calibri"/>
        </w:rPr>
      </w:pPr>
      <w:r w:rsidRPr="00292A07">
        <w:rPr>
          <w:rFonts w:ascii="Calibri" w:eastAsia="Calibri" w:hAnsi="Calibri"/>
          <w:b/>
          <w:sz w:val="28"/>
        </w:rPr>
        <w:lastRenderedPageBreak/>
        <w:t>Mission</w:t>
      </w:r>
      <w:r>
        <w:rPr>
          <w:rFonts w:ascii="Calibri" w:eastAsia="Calibri" w:hAnsi="Calibri"/>
          <w:b/>
        </w:rPr>
        <w:t xml:space="preserve">    </w:t>
      </w:r>
      <w:r w:rsidRPr="00292A07">
        <w:rPr>
          <w:rFonts w:ascii="Calibri" w:eastAsia="Calibri" w:hAnsi="Calibri"/>
        </w:rPr>
        <w:t>New Mexico’s Statewide Epidemiological and Outcomes Workgroup (SEOW) reviews and disseminates data about substance abuse and misuse and their consequences. It also identifies best practice information about evidence-based prevention strategies, policies and practices that can lead to successful outcomes for New Mexicans. The purpose of this two-fold work is to inform communities so that they can better target behaviors and risk factors that can be positively impacted by the implementation of well-chosen, evidence-based prevention approaches that are appropriate for the population. The important work of the SEOW is directed by the Office of Substance Abuse Prevention (Behavioral Health Services Division, Human Services Department) and supported by federal funding from the Center for Substance Abuse Prevention, Substance Abuse and Mental Health Services Administration.</w:t>
      </w:r>
    </w:p>
    <w:p w14:paraId="5E9ABCB7" w14:textId="77777777" w:rsidR="00935702" w:rsidRPr="00292A07" w:rsidRDefault="00935702" w:rsidP="00935702">
      <w:pPr>
        <w:rPr>
          <w:rFonts w:ascii="Calibri" w:eastAsia="Calibri" w:hAnsi="Calibri"/>
        </w:rPr>
      </w:pPr>
    </w:p>
    <w:tbl>
      <w:tblPr>
        <w:tblStyle w:val="TableGrid1"/>
        <w:tblpPr w:leftFromText="180" w:rightFromText="180" w:vertAnchor="page" w:horzAnchor="margin" w:tblpY="47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35702" w:rsidRPr="00292A07" w14:paraId="3D7ECD68" w14:textId="77777777" w:rsidTr="006B28EB">
        <w:tc>
          <w:tcPr>
            <w:tcW w:w="9350" w:type="dxa"/>
            <w:gridSpan w:val="2"/>
          </w:tcPr>
          <w:p w14:paraId="7146A041" w14:textId="77777777" w:rsidR="00935702" w:rsidRPr="00292A07" w:rsidRDefault="00935702" w:rsidP="006B28EB">
            <w:pPr>
              <w:jc w:val="center"/>
              <w:rPr>
                <w:rFonts w:ascii="Calibri" w:eastAsia="Calibri" w:hAnsi="Calibri"/>
                <w:b/>
              </w:rPr>
            </w:pPr>
            <w:r w:rsidRPr="00292A07">
              <w:rPr>
                <w:rFonts w:ascii="Calibri" w:eastAsia="Calibri" w:hAnsi="Calibri"/>
                <w:b/>
              </w:rPr>
              <w:t>Statewide Epidemiology and Outcomes Workgroup (SEOW) Members</w:t>
            </w:r>
          </w:p>
        </w:tc>
      </w:tr>
      <w:tr w:rsidR="00935702" w:rsidRPr="00292A07" w14:paraId="4B0D5185" w14:textId="77777777" w:rsidTr="006B28EB">
        <w:tc>
          <w:tcPr>
            <w:tcW w:w="4675" w:type="dxa"/>
          </w:tcPr>
          <w:p w14:paraId="449AE8EC" w14:textId="77777777" w:rsidR="00935702" w:rsidRPr="00292A07" w:rsidRDefault="00935702" w:rsidP="006B28EB">
            <w:pPr>
              <w:jc w:val="center"/>
              <w:rPr>
                <w:rFonts w:ascii="Calibri" w:eastAsia="Calibri" w:hAnsi="Calibri"/>
                <w:b/>
              </w:rPr>
            </w:pPr>
          </w:p>
          <w:p w14:paraId="05E66CEC" w14:textId="77777777" w:rsidR="00935702" w:rsidRPr="00292A07" w:rsidRDefault="00935702" w:rsidP="006B28EB">
            <w:pPr>
              <w:jc w:val="center"/>
              <w:rPr>
                <w:rFonts w:ascii="Calibri" w:eastAsia="Calibri" w:hAnsi="Calibri"/>
                <w:b/>
              </w:rPr>
            </w:pPr>
            <w:r w:rsidRPr="00292A07">
              <w:rPr>
                <w:rFonts w:ascii="Calibri" w:eastAsia="Calibri" w:hAnsi="Calibri"/>
                <w:b/>
              </w:rPr>
              <w:t>BHSD Office of Substance Abuse Prevention</w:t>
            </w:r>
          </w:p>
          <w:p w14:paraId="73ED3C46" w14:textId="77777777" w:rsidR="00935702" w:rsidRPr="00292A07" w:rsidRDefault="00935702" w:rsidP="006B28EB">
            <w:pPr>
              <w:jc w:val="center"/>
              <w:rPr>
                <w:rFonts w:ascii="Calibri" w:eastAsia="Calibri" w:hAnsi="Calibri"/>
              </w:rPr>
            </w:pPr>
            <w:r w:rsidRPr="00292A07">
              <w:rPr>
                <w:rFonts w:ascii="Calibri" w:eastAsia="Calibri" w:hAnsi="Calibri"/>
              </w:rPr>
              <w:t xml:space="preserve">Karen </w:t>
            </w:r>
            <w:proofErr w:type="spellStart"/>
            <w:r w:rsidRPr="00292A07">
              <w:rPr>
                <w:rFonts w:ascii="Calibri" w:eastAsia="Calibri" w:hAnsi="Calibri"/>
              </w:rPr>
              <w:t>Cheman</w:t>
            </w:r>
            <w:proofErr w:type="spellEnd"/>
            <w:r w:rsidRPr="00292A07">
              <w:rPr>
                <w:rFonts w:ascii="Calibri" w:eastAsia="Calibri" w:hAnsi="Calibri"/>
              </w:rPr>
              <w:t xml:space="preserve">, Prevention Director, </w:t>
            </w:r>
          </w:p>
          <w:p w14:paraId="6F2E3F84" w14:textId="77777777" w:rsidR="00935702" w:rsidRPr="00292A07" w:rsidRDefault="00935702" w:rsidP="006B28EB">
            <w:pPr>
              <w:jc w:val="center"/>
              <w:rPr>
                <w:rFonts w:ascii="Calibri" w:eastAsia="Calibri" w:hAnsi="Calibri"/>
              </w:rPr>
            </w:pPr>
            <w:r w:rsidRPr="00292A07">
              <w:rPr>
                <w:rFonts w:ascii="Calibri" w:eastAsia="Calibri" w:hAnsi="Calibri"/>
              </w:rPr>
              <w:t>NPN &amp; SEOW Director</w:t>
            </w:r>
          </w:p>
          <w:p w14:paraId="5C478EFB" w14:textId="77777777" w:rsidR="00935702" w:rsidRPr="00292A07" w:rsidRDefault="00935702" w:rsidP="006B28EB">
            <w:pPr>
              <w:jc w:val="center"/>
              <w:rPr>
                <w:rFonts w:ascii="Calibri" w:eastAsia="Calibri" w:hAnsi="Calibri"/>
                <w:b/>
              </w:rPr>
            </w:pPr>
            <w:r w:rsidRPr="00292A07">
              <w:rPr>
                <w:rFonts w:ascii="Calibri" w:eastAsia="Calibri" w:hAnsi="Calibri"/>
              </w:rPr>
              <w:t>Heather Burnham, Program Manager</w:t>
            </w:r>
            <w:r w:rsidRPr="00292A07">
              <w:rPr>
                <w:rFonts w:ascii="Calibri" w:eastAsia="Calibri" w:hAnsi="Calibri"/>
                <w:b/>
              </w:rPr>
              <w:t xml:space="preserve"> </w:t>
            </w:r>
          </w:p>
          <w:p w14:paraId="40451FE8" w14:textId="77777777" w:rsidR="00935702" w:rsidRPr="00292A07" w:rsidRDefault="00935702" w:rsidP="006B28EB">
            <w:pPr>
              <w:jc w:val="center"/>
              <w:rPr>
                <w:rFonts w:ascii="Calibri" w:eastAsia="Calibri" w:hAnsi="Calibri"/>
              </w:rPr>
            </w:pPr>
            <w:proofErr w:type="spellStart"/>
            <w:r w:rsidRPr="00292A07">
              <w:rPr>
                <w:rFonts w:ascii="Calibri" w:eastAsia="Calibri" w:hAnsi="Calibri"/>
              </w:rPr>
              <w:t>Antonette</w:t>
            </w:r>
            <w:proofErr w:type="spellEnd"/>
            <w:r w:rsidRPr="00292A07">
              <w:rPr>
                <w:rFonts w:ascii="Calibri" w:eastAsia="Calibri" w:hAnsi="Calibri"/>
              </w:rPr>
              <w:t xml:space="preserve"> Silva-Jose, Program Manager</w:t>
            </w:r>
          </w:p>
          <w:p w14:paraId="36E5D043" w14:textId="77777777" w:rsidR="00935702" w:rsidRPr="00292A07" w:rsidRDefault="00935702" w:rsidP="006B28EB">
            <w:pPr>
              <w:jc w:val="center"/>
              <w:rPr>
                <w:rFonts w:ascii="Calibri" w:eastAsia="Calibri" w:hAnsi="Calibri"/>
              </w:rPr>
            </w:pPr>
            <w:r w:rsidRPr="00292A07">
              <w:rPr>
                <w:rFonts w:ascii="Calibri" w:eastAsia="Calibri" w:hAnsi="Calibri"/>
              </w:rPr>
              <w:t>Anwar Walker, Program Manager</w:t>
            </w:r>
            <w:r w:rsidRPr="00292A07">
              <w:rPr>
                <w:rFonts w:ascii="Calibri" w:eastAsia="Calibri" w:hAnsi="Calibri"/>
                <w:b/>
              </w:rPr>
              <w:t xml:space="preserve"> </w:t>
            </w:r>
          </w:p>
        </w:tc>
        <w:tc>
          <w:tcPr>
            <w:tcW w:w="4675" w:type="dxa"/>
          </w:tcPr>
          <w:p w14:paraId="29737109" w14:textId="77777777" w:rsidR="00935702" w:rsidRPr="00292A07" w:rsidRDefault="00935702" w:rsidP="006B28EB">
            <w:pPr>
              <w:jc w:val="center"/>
              <w:rPr>
                <w:rFonts w:ascii="Calibri" w:eastAsia="Calibri" w:hAnsi="Calibri"/>
                <w:b/>
              </w:rPr>
            </w:pPr>
          </w:p>
          <w:p w14:paraId="4CC41FD0" w14:textId="77777777" w:rsidR="00935702" w:rsidRPr="00292A07" w:rsidRDefault="00935702" w:rsidP="006B28EB">
            <w:pPr>
              <w:jc w:val="center"/>
              <w:rPr>
                <w:rFonts w:ascii="Calibri" w:eastAsia="Calibri" w:hAnsi="Calibri"/>
                <w:b/>
              </w:rPr>
            </w:pPr>
            <w:r w:rsidRPr="00292A07">
              <w:rPr>
                <w:rFonts w:ascii="Calibri" w:eastAsia="Calibri" w:hAnsi="Calibri"/>
                <w:b/>
              </w:rPr>
              <w:t>Behavioral Health Services Division (BHSD)</w:t>
            </w:r>
          </w:p>
          <w:p w14:paraId="1B055B96" w14:textId="77777777" w:rsidR="00935702" w:rsidRPr="008F0848" w:rsidRDefault="00935702" w:rsidP="006B28EB">
            <w:pPr>
              <w:jc w:val="center"/>
              <w:rPr>
                <w:rFonts w:asciiTheme="minorHAnsi" w:hAnsiTheme="minorHAnsi"/>
              </w:rPr>
            </w:pPr>
            <w:r w:rsidRPr="008F0848">
              <w:rPr>
                <w:rFonts w:asciiTheme="minorHAnsi" w:hAnsiTheme="minorHAnsi"/>
              </w:rPr>
              <w:t xml:space="preserve">Wayne Lindstrom, </w:t>
            </w:r>
            <w:r>
              <w:rPr>
                <w:rFonts w:asciiTheme="minorHAnsi" w:hAnsiTheme="minorHAnsi"/>
              </w:rPr>
              <w:t xml:space="preserve">Ph.D., </w:t>
            </w:r>
            <w:r w:rsidRPr="008F0848">
              <w:rPr>
                <w:rFonts w:asciiTheme="minorHAnsi" w:hAnsiTheme="minorHAnsi"/>
              </w:rPr>
              <w:t>Director</w:t>
            </w:r>
            <w:r>
              <w:rPr>
                <w:rFonts w:asciiTheme="minorHAnsi" w:hAnsiTheme="minorHAnsi"/>
              </w:rPr>
              <w:t xml:space="preserve"> and CEO, Behavioral Health Collaborative</w:t>
            </w:r>
          </w:p>
          <w:p w14:paraId="379747FC" w14:textId="77777777" w:rsidR="00935702" w:rsidRPr="00292A07" w:rsidRDefault="00935702" w:rsidP="006B28EB">
            <w:pPr>
              <w:jc w:val="center"/>
              <w:rPr>
                <w:rFonts w:ascii="Calibri" w:eastAsia="Calibri" w:hAnsi="Calibri"/>
              </w:rPr>
            </w:pPr>
            <w:r w:rsidRPr="00292A07">
              <w:rPr>
                <w:rFonts w:ascii="Calibri" w:eastAsia="Calibri" w:hAnsi="Calibri"/>
              </w:rPr>
              <w:t>Mika Tari, Deputy Director</w:t>
            </w:r>
          </w:p>
          <w:p w14:paraId="41B154C1" w14:textId="77777777" w:rsidR="00935702" w:rsidRPr="00292A07" w:rsidRDefault="00935702" w:rsidP="006B28EB">
            <w:pPr>
              <w:jc w:val="center"/>
              <w:rPr>
                <w:rFonts w:ascii="Calibri" w:eastAsia="Calibri" w:hAnsi="Calibri"/>
              </w:rPr>
            </w:pPr>
            <w:r w:rsidRPr="00292A07">
              <w:rPr>
                <w:rFonts w:ascii="Calibri" w:eastAsia="Calibri" w:hAnsi="Calibri"/>
              </w:rPr>
              <w:t>Tiffany Wynn, Clinical Services Director</w:t>
            </w:r>
          </w:p>
        </w:tc>
      </w:tr>
      <w:tr w:rsidR="00935702" w:rsidRPr="00292A07" w14:paraId="470BA387" w14:textId="77777777" w:rsidTr="006B28EB">
        <w:tc>
          <w:tcPr>
            <w:tcW w:w="4675" w:type="dxa"/>
          </w:tcPr>
          <w:p w14:paraId="58FD3A40" w14:textId="77777777" w:rsidR="00935702" w:rsidRPr="00292A07" w:rsidRDefault="00935702" w:rsidP="006B28EB">
            <w:pPr>
              <w:jc w:val="center"/>
              <w:rPr>
                <w:rFonts w:ascii="Calibri" w:eastAsia="Calibri" w:hAnsi="Calibri"/>
                <w:b/>
              </w:rPr>
            </w:pPr>
          </w:p>
          <w:p w14:paraId="05B0886A" w14:textId="77777777" w:rsidR="00935702" w:rsidRPr="00292A07" w:rsidRDefault="00935702" w:rsidP="006B28EB">
            <w:pPr>
              <w:jc w:val="center"/>
              <w:rPr>
                <w:rFonts w:ascii="Calibri" w:eastAsia="Calibri" w:hAnsi="Calibri"/>
                <w:b/>
              </w:rPr>
            </w:pPr>
            <w:r w:rsidRPr="00292A07">
              <w:rPr>
                <w:rFonts w:ascii="Calibri" w:eastAsia="Calibri" w:hAnsi="Calibri"/>
                <w:b/>
              </w:rPr>
              <w:t>Department of Finance and Administration</w:t>
            </w:r>
          </w:p>
          <w:p w14:paraId="606DF1D8" w14:textId="77777777" w:rsidR="00935702" w:rsidRPr="00292A07" w:rsidRDefault="00935702" w:rsidP="006B28EB">
            <w:pPr>
              <w:jc w:val="center"/>
              <w:rPr>
                <w:rFonts w:ascii="Calibri" w:eastAsia="Calibri" w:hAnsi="Calibri"/>
              </w:rPr>
            </w:pPr>
            <w:r w:rsidRPr="00292A07">
              <w:rPr>
                <w:rFonts w:ascii="Calibri" w:eastAsia="Calibri" w:hAnsi="Calibri"/>
              </w:rPr>
              <w:t xml:space="preserve">Julie </w:t>
            </w:r>
            <w:proofErr w:type="spellStart"/>
            <w:r w:rsidRPr="00292A07">
              <w:rPr>
                <w:rFonts w:ascii="Calibri" w:eastAsia="Calibri" w:hAnsi="Calibri"/>
              </w:rPr>
              <w:t>Krupcale</w:t>
            </w:r>
            <w:proofErr w:type="spellEnd"/>
            <w:r w:rsidRPr="00292A07">
              <w:rPr>
                <w:rFonts w:ascii="Calibri" w:eastAsia="Calibri" w:hAnsi="Calibri"/>
              </w:rPr>
              <w:t xml:space="preserve">, DWI </w:t>
            </w:r>
            <w:r>
              <w:rPr>
                <w:rFonts w:ascii="Calibri" w:eastAsia="Calibri" w:hAnsi="Calibri"/>
              </w:rPr>
              <w:t>Bureau Chief</w:t>
            </w:r>
          </w:p>
        </w:tc>
        <w:tc>
          <w:tcPr>
            <w:tcW w:w="4675" w:type="dxa"/>
          </w:tcPr>
          <w:p w14:paraId="74E3D32B" w14:textId="77777777" w:rsidR="00935702" w:rsidRPr="00292A07" w:rsidRDefault="00935702" w:rsidP="006B28EB">
            <w:pPr>
              <w:jc w:val="center"/>
              <w:rPr>
                <w:rFonts w:ascii="Calibri" w:eastAsia="Calibri" w:hAnsi="Calibri"/>
                <w:b/>
              </w:rPr>
            </w:pPr>
          </w:p>
          <w:p w14:paraId="63290172" w14:textId="77777777" w:rsidR="00935702" w:rsidRPr="00292A07" w:rsidRDefault="00935702" w:rsidP="006B28EB">
            <w:pPr>
              <w:jc w:val="center"/>
              <w:rPr>
                <w:rFonts w:ascii="Calibri" w:eastAsia="Calibri" w:hAnsi="Calibri"/>
                <w:b/>
              </w:rPr>
            </w:pPr>
            <w:r w:rsidRPr="00292A07">
              <w:rPr>
                <w:rFonts w:ascii="Calibri" w:eastAsia="Calibri" w:hAnsi="Calibri"/>
                <w:b/>
              </w:rPr>
              <w:t>Children Youth and Families Department, Behavioral Health Services</w:t>
            </w:r>
          </w:p>
          <w:p w14:paraId="372950C0" w14:textId="77777777" w:rsidR="00935702" w:rsidRPr="00292A07" w:rsidRDefault="00935702" w:rsidP="006B28EB">
            <w:pPr>
              <w:jc w:val="center"/>
              <w:rPr>
                <w:rFonts w:ascii="Calibri" w:eastAsia="Calibri" w:hAnsi="Calibri"/>
              </w:rPr>
            </w:pPr>
            <w:r w:rsidRPr="00292A07">
              <w:rPr>
                <w:rFonts w:ascii="Calibri" w:eastAsia="Calibri" w:hAnsi="Calibri"/>
              </w:rPr>
              <w:t>Michael Hock, Program Manager</w:t>
            </w:r>
          </w:p>
        </w:tc>
      </w:tr>
      <w:tr w:rsidR="00935702" w:rsidRPr="00292A07" w14:paraId="47DC4B27" w14:textId="77777777" w:rsidTr="006B28EB">
        <w:tc>
          <w:tcPr>
            <w:tcW w:w="4675" w:type="dxa"/>
          </w:tcPr>
          <w:p w14:paraId="248D3A5A" w14:textId="77777777" w:rsidR="00935702" w:rsidRPr="00292A07" w:rsidRDefault="00935702" w:rsidP="006B28EB">
            <w:pPr>
              <w:jc w:val="center"/>
              <w:rPr>
                <w:rFonts w:ascii="Calibri" w:eastAsia="Calibri" w:hAnsi="Calibri"/>
                <w:b/>
              </w:rPr>
            </w:pPr>
          </w:p>
          <w:p w14:paraId="59044D09" w14:textId="77777777" w:rsidR="00935702" w:rsidRPr="00292A07" w:rsidRDefault="00935702" w:rsidP="006B28EB">
            <w:pPr>
              <w:jc w:val="center"/>
              <w:rPr>
                <w:rFonts w:ascii="Calibri" w:eastAsia="Calibri" w:hAnsi="Calibri"/>
                <w:b/>
              </w:rPr>
            </w:pPr>
            <w:r w:rsidRPr="00292A07">
              <w:rPr>
                <w:rFonts w:ascii="Calibri" w:eastAsia="Calibri" w:hAnsi="Calibri"/>
                <w:b/>
              </w:rPr>
              <w:t>DOH Epidemiology and Response Division</w:t>
            </w:r>
          </w:p>
          <w:p w14:paraId="150C30E8" w14:textId="77777777" w:rsidR="00935702" w:rsidRPr="00292A07" w:rsidRDefault="00935702" w:rsidP="006B28EB">
            <w:pPr>
              <w:jc w:val="center"/>
              <w:rPr>
                <w:rFonts w:ascii="Calibri" w:eastAsia="Calibri" w:hAnsi="Calibri"/>
              </w:rPr>
            </w:pPr>
            <w:r w:rsidRPr="00292A07">
              <w:rPr>
                <w:rFonts w:ascii="Calibri" w:eastAsia="Calibri" w:hAnsi="Calibri"/>
              </w:rPr>
              <w:t>Jim Davis, Epidemiologist</w:t>
            </w:r>
          </w:p>
          <w:p w14:paraId="0FBCF792" w14:textId="77777777" w:rsidR="00935702" w:rsidRPr="00292A07" w:rsidRDefault="00935702" w:rsidP="006B28EB">
            <w:pPr>
              <w:jc w:val="center"/>
              <w:rPr>
                <w:rFonts w:ascii="Calibri" w:eastAsia="Calibri" w:hAnsi="Calibri"/>
              </w:rPr>
            </w:pPr>
            <w:r w:rsidRPr="00292A07">
              <w:rPr>
                <w:rFonts w:ascii="Calibri" w:eastAsia="Calibri" w:hAnsi="Calibri"/>
              </w:rPr>
              <w:t>Dan Green, Epidemiologist</w:t>
            </w:r>
          </w:p>
          <w:p w14:paraId="5F7253DC" w14:textId="77777777" w:rsidR="00935702" w:rsidRPr="00292A07" w:rsidRDefault="00935702" w:rsidP="006B28EB">
            <w:pPr>
              <w:jc w:val="center"/>
              <w:rPr>
                <w:rFonts w:ascii="Calibri" w:eastAsia="Calibri" w:hAnsi="Calibri"/>
              </w:rPr>
            </w:pPr>
            <w:r w:rsidRPr="00292A07">
              <w:rPr>
                <w:rFonts w:ascii="Calibri" w:eastAsia="Calibri" w:hAnsi="Calibri"/>
              </w:rPr>
              <w:t xml:space="preserve">Kathryn </w:t>
            </w:r>
            <w:proofErr w:type="spellStart"/>
            <w:r w:rsidRPr="00292A07">
              <w:rPr>
                <w:rFonts w:ascii="Calibri" w:eastAsia="Calibri" w:hAnsi="Calibri"/>
              </w:rPr>
              <w:t>Lowerre</w:t>
            </w:r>
            <w:proofErr w:type="spellEnd"/>
            <w:r w:rsidRPr="00292A07">
              <w:rPr>
                <w:rFonts w:ascii="Calibri" w:eastAsia="Calibri" w:hAnsi="Calibri"/>
              </w:rPr>
              <w:t>, Program Evaluator</w:t>
            </w:r>
          </w:p>
          <w:p w14:paraId="40080520" w14:textId="77777777" w:rsidR="00935702" w:rsidRPr="00292A07" w:rsidRDefault="00935702" w:rsidP="006B28EB">
            <w:pPr>
              <w:jc w:val="center"/>
              <w:rPr>
                <w:rFonts w:ascii="Calibri" w:eastAsia="Calibri" w:hAnsi="Calibri"/>
              </w:rPr>
            </w:pPr>
            <w:r w:rsidRPr="00292A07">
              <w:rPr>
                <w:rFonts w:ascii="Calibri" w:eastAsia="Calibri" w:hAnsi="Calibri"/>
              </w:rPr>
              <w:t>Ihsan Mahdi, Epidemiologist</w:t>
            </w:r>
          </w:p>
          <w:p w14:paraId="0EB96D2D" w14:textId="77777777" w:rsidR="00935702" w:rsidRPr="00292A07" w:rsidRDefault="00935702" w:rsidP="006B28EB">
            <w:pPr>
              <w:jc w:val="center"/>
              <w:rPr>
                <w:rFonts w:ascii="Calibri" w:eastAsia="Calibri" w:hAnsi="Calibri"/>
              </w:rPr>
            </w:pPr>
            <w:r w:rsidRPr="00292A07">
              <w:rPr>
                <w:rFonts w:ascii="Calibri" w:eastAsia="Calibri" w:hAnsi="Calibri"/>
              </w:rPr>
              <w:t xml:space="preserve">Annaliese </w:t>
            </w:r>
            <w:proofErr w:type="spellStart"/>
            <w:r w:rsidRPr="00292A07">
              <w:rPr>
                <w:rFonts w:ascii="Calibri" w:eastAsia="Calibri" w:hAnsi="Calibri"/>
              </w:rPr>
              <w:t>Mayette</w:t>
            </w:r>
            <w:proofErr w:type="spellEnd"/>
            <w:r w:rsidRPr="00292A07">
              <w:rPr>
                <w:rFonts w:ascii="Calibri" w:eastAsia="Calibri" w:hAnsi="Calibri"/>
              </w:rPr>
              <w:t>, Epidemiologist</w:t>
            </w:r>
          </w:p>
          <w:p w14:paraId="7A9E14EF" w14:textId="77777777" w:rsidR="00935702" w:rsidRPr="00292A07" w:rsidRDefault="00935702" w:rsidP="006B28EB">
            <w:pPr>
              <w:jc w:val="center"/>
              <w:rPr>
                <w:rFonts w:ascii="Calibri" w:eastAsia="Calibri" w:hAnsi="Calibri"/>
              </w:rPr>
            </w:pPr>
            <w:r w:rsidRPr="00292A07">
              <w:rPr>
                <w:rFonts w:ascii="Calibri" w:eastAsia="Calibri" w:hAnsi="Calibri"/>
              </w:rPr>
              <w:t>Carol Moss, Epidemiologist</w:t>
            </w:r>
          </w:p>
          <w:p w14:paraId="1D9620DE" w14:textId="77777777" w:rsidR="00935702" w:rsidRPr="00292A07" w:rsidRDefault="00935702" w:rsidP="006B28EB">
            <w:pPr>
              <w:jc w:val="center"/>
              <w:rPr>
                <w:rFonts w:ascii="Calibri" w:eastAsia="Calibri" w:hAnsi="Calibri"/>
              </w:rPr>
            </w:pPr>
            <w:r w:rsidRPr="00292A07">
              <w:rPr>
                <w:rFonts w:ascii="Calibri" w:eastAsia="Calibri" w:hAnsi="Calibri"/>
              </w:rPr>
              <w:t>Luigi Garcia Saavedra, Epidemiologist</w:t>
            </w:r>
          </w:p>
          <w:p w14:paraId="2377AADC" w14:textId="77777777" w:rsidR="00935702" w:rsidRPr="00292A07" w:rsidRDefault="00935702" w:rsidP="006B28EB">
            <w:pPr>
              <w:jc w:val="center"/>
              <w:rPr>
                <w:rFonts w:ascii="Calibri" w:eastAsia="Calibri" w:hAnsi="Calibri"/>
              </w:rPr>
            </w:pPr>
            <w:r w:rsidRPr="00292A07">
              <w:rPr>
                <w:rFonts w:ascii="Calibri" w:eastAsia="Calibri" w:hAnsi="Calibri"/>
              </w:rPr>
              <w:t xml:space="preserve">Laura </w:t>
            </w:r>
            <w:proofErr w:type="spellStart"/>
            <w:r w:rsidRPr="00292A07">
              <w:rPr>
                <w:rFonts w:ascii="Calibri" w:eastAsia="Calibri" w:hAnsi="Calibri"/>
              </w:rPr>
              <w:t>Tomedi</w:t>
            </w:r>
            <w:proofErr w:type="spellEnd"/>
            <w:r w:rsidRPr="00292A07">
              <w:rPr>
                <w:rFonts w:ascii="Calibri" w:eastAsia="Calibri" w:hAnsi="Calibri"/>
              </w:rPr>
              <w:t>, Epidemiologist</w:t>
            </w:r>
          </w:p>
          <w:p w14:paraId="40E274F7" w14:textId="77777777" w:rsidR="00935702" w:rsidRPr="00292A07" w:rsidRDefault="00935702" w:rsidP="006B28EB">
            <w:pPr>
              <w:jc w:val="center"/>
              <w:rPr>
                <w:rFonts w:ascii="Calibri" w:eastAsia="Calibri" w:hAnsi="Calibri"/>
              </w:rPr>
            </w:pPr>
          </w:p>
        </w:tc>
        <w:tc>
          <w:tcPr>
            <w:tcW w:w="4675" w:type="dxa"/>
          </w:tcPr>
          <w:p w14:paraId="4AAE06AA" w14:textId="77777777" w:rsidR="00935702" w:rsidRPr="00292A07" w:rsidRDefault="00935702" w:rsidP="006B28EB">
            <w:pPr>
              <w:jc w:val="center"/>
              <w:rPr>
                <w:rFonts w:ascii="Calibri" w:eastAsia="Calibri" w:hAnsi="Calibri"/>
                <w:b/>
              </w:rPr>
            </w:pPr>
          </w:p>
          <w:p w14:paraId="114286EB" w14:textId="77777777" w:rsidR="00935702" w:rsidRPr="00292A07" w:rsidRDefault="00935702" w:rsidP="006B28EB">
            <w:pPr>
              <w:jc w:val="center"/>
              <w:rPr>
                <w:rFonts w:ascii="Calibri" w:eastAsia="Calibri" w:hAnsi="Calibri"/>
                <w:b/>
              </w:rPr>
            </w:pPr>
            <w:r w:rsidRPr="00292A07">
              <w:rPr>
                <w:rFonts w:ascii="Calibri" w:eastAsia="Calibri" w:hAnsi="Calibri"/>
                <w:b/>
              </w:rPr>
              <w:t>Community Members</w:t>
            </w:r>
            <w:r>
              <w:rPr>
                <w:rFonts w:ascii="Calibri" w:eastAsia="Calibri" w:hAnsi="Calibri"/>
                <w:b/>
              </w:rPr>
              <w:t>*</w:t>
            </w:r>
          </w:p>
          <w:p w14:paraId="403EB312" w14:textId="77777777" w:rsidR="00935702" w:rsidRPr="00292A07" w:rsidRDefault="00935702" w:rsidP="006B28EB">
            <w:pPr>
              <w:jc w:val="center"/>
              <w:rPr>
                <w:rFonts w:ascii="Calibri" w:eastAsia="Calibri" w:hAnsi="Calibri"/>
              </w:rPr>
            </w:pPr>
            <w:r w:rsidRPr="00292A07">
              <w:rPr>
                <w:rFonts w:ascii="Calibri" w:eastAsia="Calibri" w:hAnsi="Calibri"/>
              </w:rPr>
              <w:t xml:space="preserve">Ann </w:t>
            </w:r>
            <w:proofErr w:type="spellStart"/>
            <w:r w:rsidRPr="00292A07">
              <w:rPr>
                <w:rFonts w:ascii="Calibri" w:eastAsia="Calibri" w:hAnsi="Calibri"/>
              </w:rPr>
              <w:t>DelVecchio</w:t>
            </w:r>
            <w:proofErr w:type="spellEnd"/>
            <w:r w:rsidRPr="00292A07">
              <w:rPr>
                <w:rFonts w:ascii="Calibri" w:eastAsia="Calibri" w:hAnsi="Calibri"/>
              </w:rPr>
              <w:t>, Owner, Alpha Assessment Associates</w:t>
            </w:r>
          </w:p>
          <w:p w14:paraId="4068A13D" w14:textId="77777777" w:rsidR="00935702" w:rsidRPr="00292A07" w:rsidRDefault="00935702" w:rsidP="006B28EB">
            <w:pPr>
              <w:jc w:val="center"/>
              <w:rPr>
                <w:rFonts w:ascii="Calibri" w:eastAsia="Calibri" w:hAnsi="Calibri"/>
              </w:rPr>
            </w:pPr>
            <w:r w:rsidRPr="00292A07">
              <w:rPr>
                <w:rFonts w:ascii="Calibri" w:eastAsia="Calibri" w:hAnsi="Calibri"/>
              </w:rPr>
              <w:t>Shelley Moeller, Program Planner &amp; Evaluator, M&amp;O Consulting</w:t>
            </w:r>
          </w:p>
          <w:p w14:paraId="08FE89FD" w14:textId="77777777" w:rsidR="00935702" w:rsidRPr="00292A07" w:rsidRDefault="00935702" w:rsidP="006B28EB">
            <w:pPr>
              <w:jc w:val="center"/>
              <w:rPr>
                <w:rFonts w:ascii="Calibri" w:eastAsia="Calibri" w:hAnsi="Calibri"/>
              </w:rPr>
            </w:pPr>
            <w:r w:rsidRPr="00292A07">
              <w:rPr>
                <w:rFonts w:ascii="Calibri" w:eastAsia="Calibri" w:hAnsi="Calibri"/>
              </w:rPr>
              <w:t>John Steiner, Program Manager, UNM CASAA/COSAP</w:t>
            </w:r>
          </w:p>
          <w:p w14:paraId="280066CF" w14:textId="77777777" w:rsidR="00935702" w:rsidRPr="00292A07" w:rsidRDefault="00935702" w:rsidP="006B28EB">
            <w:pPr>
              <w:jc w:val="center"/>
              <w:rPr>
                <w:rFonts w:ascii="Calibri" w:eastAsia="Calibri" w:hAnsi="Calibri"/>
              </w:rPr>
            </w:pPr>
            <w:proofErr w:type="spellStart"/>
            <w:r w:rsidRPr="00292A07">
              <w:rPr>
                <w:rFonts w:ascii="Calibri" w:eastAsia="Calibri" w:hAnsi="Calibri"/>
              </w:rPr>
              <w:t>Sharz</w:t>
            </w:r>
            <w:proofErr w:type="spellEnd"/>
            <w:r w:rsidRPr="00292A07">
              <w:rPr>
                <w:rFonts w:ascii="Calibri" w:eastAsia="Calibri" w:hAnsi="Calibri"/>
              </w:rPr>
              <w:t xml:space="preserve"> Weeks, Program Specialist, Bernalillo County Community Health Council</w:t>
            </w:r>
          </w:p>
          <w:p w14:paraId="3274DA02" w14:textId="77777777" w:rsidR="00935702" w:rsidRPr="00292A07" w:rsidRDefault="00935702" w:rsidP="006B28EB">
            <w:pPr>
              <w:jc w:val="center"/>
              <w:rPr>
                <w:rFonts w:ascii="Calibri" w:eastAsia="Calibri" w:hAnsi="Calibri"/>
              </w:rPr>
            </w:pPr>
          </w:p>
        </w:tc>
      </w:tr>
      <w:tr w:rsidR="00935702" w:rsidRPr="00292A07" w14:paraId="1187270F" w14:textId="77777777" w:rsidTr="006B28EB">
        <w:tc>
          <w:tcPr>
            <w:tcW w:w="4675" w:type="dxa"/>
          </w:tcPr>
          <w:p w14:paraId="693BFB7F" w14:textId="77777777" w:rsidR="00935702" w:rsidRPr="00292A07" w:rsidRDefault="00935702" w:rsidP="006B28EB">
            <w:pPr>
              <w:jc w:val="center"/>
              <w:rPr>
                <w:rFonts w:ascii="Calibri" w:eastAsia="Calibri" w:hAnsi="Calibri"/>
                <w:b/>
              </w:rPr>
            </w:pPr>
            <w:r w:rsidRPr="00292A07">
              <w:rPr>
                <w:rFonts w:ascii="Calibri" w:eastAsia="Calibri" w:hAnsi="Calibri"/>
                <w:b/>
              </w:rPr>
              <w:t>Pacific Institute for Research &amp; Evaluation (PIRE), NM State Level Evaluator</w:t>
            </w:r>
          </w:p>
          <w:p w14:paraId="3D2C194B" w14:textId="77777777" w:rsidR="00935702" w:rsidRPr="00292A07" w:rsidRDefault="00935702" w:rsidP="006B28EB">
            <w:pPr>
              <w:jc w:val="center"/>
              <w:rPr>
                <w:rFonts w:ascii="Calibri" w:eastAsia="Calibri" w:hAnsi="Calibri"/>
              </w:rPr>
            </w:pPr>
            <w:r w:rsidRPr="00292A07">
              <w:rPr>
                <w:rFonts w:ascii="Calibri" w:eastAsia="Calibri" w:hAnsi="Calibri"/>
              </w:rPr>
              <w:t xml:space="preserve">Liz </w:t>
            </w:r>
            <w:proofErr w:type="spellStart"/>
            <w:r w:rsidRPr="00292A07">
              <w:rPr>
                <w:rFonts w:ascii="Calibri" w:eastAsia="Calibri" w:hAnsi="Calibri"/>
              </w:rPr>
              <w:t>Lilliott</w:t>
            </w:r>
            <w:proofErr w:type="spellEnd"/>
            <w:r w:rsidRPr="00292A07">
              <w:rPr>
                <w:rFonts w:ascii="Calibri" w:eastAsia="Calibri" w:hAnsi="Calibri"/>
              </w:rPr>
              <w:t xml:space="preserve">, </w:t>
            </w:r>
            <w:proofErr w:type="spellStart"/>
            <w:proofErr w:type="gramStart"/>
            <w:r w:rsidRPr="00292A07">
              <w:rPr>
                <w:rFonts w:ascii="Calibri" w:eastAsia="Calibri" w:hAnsi="Calibri"/>
              </w:rPr>
              <w:t>Ph.D</w:t>
            </w:r>
            <w:proofErr w:type="spellEnd"/>
            <w:proofErr w:type="gramEnd"/>
          </w:p>
          <w:p w14:paraId="5FD32A23" w14:textId="77777777" w:rsidR="00935702" w:rsidRPr="00292A07" w:rsidRDefault="00935702" w:rsidP="006B28EB">
            <w:pPr>
              <w:jc w:val="center"/>
              <w:rPr>
                <w:rFonts w:ascii="Calibri" w:eastAsia="Calibri" w:hAnsi="Calibri"/>
              </w:rPr>
            </w:pPr>
            <w:r w:rsidRPr="00292A07">
              <w:rPr>
                <w:rFonts w:ascii="Calibri" w:eastAsia="Calibri" w:hAnsi="Calibri"/>
              </w:rPr>
              <w:t xml:space="preserve">Martha Waller, </w:t>
            </w:r>
            <w:proofErr w:type="spellStart"/>
            <w:proofErr w:type="gramStart"/>
            <w:r w:rsidRPr="00292A07">
              <w:rPr>
                <w:rFonts w:ascii="Calibri" w:eastAsia="Calibri" w:hAnsi="Calibri"/>
              </w:rPr>
              <w:t>Ph.D</w:t>
            </w:r>
            <w:proofErr w:type="spellEnd"/>
            <w:proofErr w:type="gramEnd"/>
          </w:p>
          <w:p w14:paraId="43045D07" w14:textId="77777777" w:rsidR="00935702" w:rsidRPr="00292A07" w:rsidRDefault="00935702" w:rsidP="006B28EB">
            <w:pPr>
              <w:jc w:val="center"/>
              <w:rPr>
                <w:rFonts w:ascii="Calibri" w:eastAsia="Calibri" w:hAnsi="Calibri"/>
              </w:rPr>
            </w:pPr>
            <w:r w:rsidRPr="00292A07">
              <w:rPr>
                <w:rFonts w:ascii="Calibri" w:eastAsia="Calibri" w:hAnsi="Calibri"/>
              </w:rPr>
              <w:t xml:space="preserve">Lei Zhang, </w:t>
            </w:r>
            <w:proofErr w:type="spellStart"/>
            <w:proofErr w:type="gramStart"/>
            <w:r w:rsidRPr="00292A07">
              <w:rPr>
                <w:rFonts w:ascii="Calibri" w:eastAsia="Calibri" w:hAnsi="Calibri"/>
              </w:rPr>
              <w:t>Ph.D</w:t>
            </w:r>
            <w:proofErr w:type="spellEnd"/>
            <w:proofErr w:type="gramEnd"/>
          </w:p>
          <w:p w14:paraId="1971A6FE" w14:textId="77777777" w:rsidR="00935702" w:rsidRPr="00292A07" w:rsidRDefault="00935702" w:rsidP="006B28EB">
            <w:pPr>
              <w:jc w:val="center"/>
              <w:rPr>
                <w:rFonts w:ascii="Calibri" w:eastAsia="Calibri" w:hAnsi="Calibri"/>
              </w:rPr>
            </w:pPr>
          </w:p>
        </w:tc>
        <w:tc>
          <w:tcPr>
            <w:tcW w:w="4675" w:type="dxa"/>
          </w:tcPr>
          <w:p w14:paraId="382022C2" w14:textId="77777777" w:rsidR="00935702" w:rsidRPr="00292A07" w:rsidRDefault="00935702" w:rsidP="006B28EB">
            <w:pPr>
              <w:jc w:val="center"/>
              <w:rPr>
                <w:rFonts w:ascii="Calibri" w:eastAsia="Calibri" w:hAnsi="Calibri"/>
                <w:b/>
              </w:rPr>
            </w:pPr>
            <w:r w:rsidRPr="00292A07">
              <w:rPr>
                <w:rFonts w:ascii="Calibri" w:eastAsia="Calibri" w:hAnsi="Calibri"/>
                <w:b/>
              </w:rPr>
              <w:t>Coop Consulting, Inc., Project Staff</w:t>
            </w:r>
          </w:p>
          <w:p w14:paraId="43E24711" w14:textId="77777777" w:rsidR="00935702" w:rsidRPr="00292A07" w:rsidRDefault="00935702" w:rsidP="006B28EB">
            <w:pPr>
              <w:jc w:val="center"/>
              <w:rPr>
                <w:rFonts w:ascii="Calibri" w:eastAsia="Calibri" w:hAnsi="Calibri"/>
              </w:rPr>
            </w:pPr>
            <w:r w:rsidRPr="00292A07">
              <w:rPr>
                <w:rFonts w:ascii="Calibri" w:eastAsia="Calibri" w:hAnsi="Calibri"/>
              </w:rPr>
              <w:t>Michael Coop</w:t>
            </w:r>
          </w:p>
          <w:p w14:paraId="5ACD21CE" w14:textId="77777777" w:rsidR="00935702" w:rsidRPr="00292A07" w:rsidRDefault="00935702" w:rsidP="006B28EB">
            <w:pPr>
              <w:jc w:val="center"/>
              <w:rPr>
                <w:rFonts w:ascii="Calibri" w:eastAsia="Calibri" w:hAnsi="Calibri"/>
              </w:rPr>
            </w:pPr>
            <w:r w:rsidRPr="00292A07">
              <w:rPr>
                <w:rFonts w:ascii="Calibri" w:eastAsia="Calibri" w:hAnsi="Calibri"/>
              </w:rPr>
              <w:t>Andrea Niehaus</w:t>
            </w:r>
          </w:p>
          <w:p w14:paraId="0A96B262" w14:textId="77777777" w:rsidR="00935702" w:rsidRPr="00292A07" w:rsidRDefault="00935702" w:rsidP="006B28EB">
            <w:pPr>
              <w:jc w:val="center"/>
              <w:rPr>
                <w:rFonts w:ascii="Calibri" w:eastAsia="Calibri" w:hAnsi="Calibri"/>
              </w:rPr>
            </w:pPr>
            <w:r w:rsidRPr="00292A07">
              <w:rPr>
                <w:rFonts w:ascii="Calibri" w:eastAsia="Calibri" w:hAnsi="Calibri"/>
              </w:rPr>
              <w:t>Tina Ruiz</w:t>
            </w:r>
          </w:p>
          <w:p w14:paraId="52460536" w14:textId="77777777" w:rsidR="00935702" w:rsidRPr="00292A07" w:rsidRDefault="00935702" w:rsidP="006B28EB">
            <w:pPr>
              <w:jc w:val="center"/>
              <w:rPr>
                <w:rFonts w:ascii="Calibri" w:eastAsia="Calibri" w:hAnsi="Calibri"/>
              </w:rPr>
            </w:pPr>
            <w:r w:rsidRPr="00292A07">
              <w:rPr>
                <w:rFonts w:ascii="Calibri" w:eastAsia="Calibri" w:hAnsi="Calibri"/>
              </w:rPr>
              <w:t>Tim Werwath</w:t>
            </w:r>
          </w:p>
          <w:p w14:paraId="6342B784" w14:textId="77777777" w:rsidR="00935702" w:rsidRPr="00292A07" w:rsidRDefault="00935702" w:rsidP="006B28EB">
            <w:pPr>
              <w:jc w:val="center"/>
              <w:rPr>
                <w:rFonts w:ascii="Calibri" w:eastAsia="Calibri" w:hAnsi="Calibri"/>
              </w:rPr>
            </w:pPr>
          </w:p>
        </w:tc>
      </w:tr>
    </w:tbl>
    <w:p w14:paraId="306EB343" w14:textId="08F237B4" w:rsidR="00190E9E" w:rsidRPr="00190E9E" w:rsidRDefault="00935702" w:rsidP="00935702">
      <w:pPr>
        <w:spacing w:after="160" w:line="259" w:lineRule="auto"/>
        <w:rPr>
          <w:rFonts w:asciiTheme="minorHAnsi" w:hAnsiTheme="minorHAnsi"/>
          <w:b/>
          <w:i/>
          <w:sz w:val="22"/>
          <w:szCs w:val="22"/>
        </w:rPr>
      </w:pPr>
      <w:r>
        <w:rPr>
          <w:rFonts w:ascii="Calibri" w:eastAsia="Calibri" w:hAnsi="Calibri"/>
        </w:rPr>
        <w:t>*</w:t>
      </w:r>
      <w:r w:rsidRPr="005D6D1A">
        <w:rPr>
          <w:rFonts w:ascii="Calibri" w:eastAsia="Calibri" w:hAnsi="Calibri"/>
        </w:rPr>
        <w:t xml:space="preserve">Community preventionists across the state attend and contribute using the SEOW as a resource for work in the larger New Mexico prevention system. </w:t>
      </w:r>
      <w:r w:rsidRPr="00292A07">
        <w:rPr>
          <w:rFonts w:ascii="Calibri" w:eastAsia="Calibri" w:hAnsi="Calibri"/>
        </w:rPr>
        <w:t xml:space="preserve">For more information, contact Karen </w:t>
      </w:r>
      <w:proofErr w:type="spellStart"/>
      <w:r w:rsidRPr="00292A07">
        <w:rPr>
          <w:rFonts w:ascii="Calibri" w:eastAsia="Calibri" w:hAnsi="Calibri"/>
        </w:rPr>
        <w:t>Cheman</w:t>
      </w:r>
      <w:proofErr w:type="spellEnd"/>
      <w:r>
        <w:rPr>
          <w:rFonts w:ascii="Calibri" w:eastAsia="Calibri" w:hAnsi="Calibri"/>
        </w:rPr>
        <w:t>,</w:t>
      </w:r>
      <w:r w:rsidRPr="00292A07">
        <w:rPr>
          <w:rFonts w:ascii="Calibri" w:eastAsia="Calibri" w:hAnsi="Calibri"/>
        </w:rPr>
        <w:t xml:space="preserve"> karen.cheman@state.nm.us or Michael Coop</w:t>
      </w:r>
      <w:r>
        <w:rPr>
          <w:rFonts w:ascii="Calibri" w:eastAsia="Calibri" w:hAnsi="Calibri"/>
        </w:rPr>
        <w:t>,</w:t>
      </w:r>
      <w:r w:rsidRPr="00292A07">
        <w:rPr>
          <w:rFonts w:ascii="Calibri" w:eastAsia="Calibri" w:hAnsi="Calibri"/>
        </w:rPr>
        <w:t xml:space="preserve"> michaelcoop@newmexico.com</w:t>
      </w:r>
      <w:r>
        <w:rPr>
          <w:rFonts w:ascii="Calibri" w:eastAsia="Calibri" w:hAnsi="Calibri"/>
        </w:rPr>
        <w:t>.</w:t>
      </w:r>
      <w:r w:rsidR="00190E9E" w:rsidRPr="00190E9E">
        <w:rPr>
          <w:rFonts w:asciiTheme="minorHAnsi" w:hAnsiTheme="minorHAnsi"/>
          <w:b/>
          <w:i/>
          <w:sz w:val="22"/>
          <w:szCs w:val="22"/>
        </w:rPr>
        <w:br w:type="page"/>
      </w:r>
    </w:p>
    <w:p w14:paraId="4F031FBF" w14:textId="77777777" w:rsidR="00935702" w:rsidRDefault="00935702" w:rsidP="00A02065">
      <w:pPr>
        <w:rPr>
          <w:rFonts w:asciiTheme="minorHAnsi" w:hAnsiTheme="minorHAnsi"/>
          <w:b/>
          <w:szCs w:val="22"/>
        </w:rPr>
        <w:sectPr w:rsidR="00935702">
          <w:footerReference w:type="default" r:id="rId9"/>
          <w:pgSz w:w="12240" w:h="15840"/>
          <w:pgMar w:top="1440" w:right="1440" w:bottom="1440" w:left="1440" w:header="720" w:footer="720" w:gutter="0"/>
          <w:cols w:space="720"/>
          <w:docGrid w:linePitch="360"/>
        </w:sectPr>
      </w:pPr>
    </w:p>
    <w:p w14:paraId="21DFD3CE" w14:textId="2D952D99" w:rsidR="00050271" w:rsidRPr="00190E9E" w:rsidRDefault="00D05A17" w:rsidP="00A02065">
      <w:pPr>
        <w:rPr>
          <w:rFonts w:asciiTheme="minorHAnsi" w:hAnsiTheme="minorHAnsi"/>
          <w:b/>
          <w:szCs w:val="22"/>
        </w:rPr>
      </w:pPr>
      <w:r w:rsidRPr="00190E9E">
        <w:rPr>
          <w:rFonts w:asciiTheme="minorHAnsi" w:hAnsiTheme="minorHAnsi"/>
          <w:b/>
          <w:szCs w:val="22"/>
        </w:rPr>
        <w:lastRenderedPageBreak/>
        <w:t>Intr</w:t>
      </w:r>
      <w:r w:rsidR="00214813" w:rsidRPr="00190E9E">
        <w:rPr>
          <w:rFonts w:asciiTheme="minorHAnsi" w:hAnsiTheme="minorHAnsi"/>
          <w:b/>
          <w:szCs w:val="22"/>
        </w:rPr>
        <w:t>oduction</w:t>
      </w:r>
    </w:p>
    <w:p w14:paraId="22CD3DBC" w14:textId="77777777" w:rsidR="00050271" w:rsidRPr="00190E9E" w:rsidRDefault="00050271" w:rsidP="00A02065">
      <w:pPr>
        <w:rPr>
          <w:rFonts w:asciiTheme="minorHAnsi" w:hAnsiTheme="minorHAnsi"/>
          <w:szCs w:val="22"/>
        </w:rPr>
      </w:pPr>
    </w:p>
    <w:p w14:paraId="36C61C1B" w14:textId="3472A6F5" w:rsidR="00D05A17" w:rsidRPr="00190E9E" w:rsidRDefault="00DD24D8" w:rsidP="00A02065">
      <w:pPr>
        <w:rPr>
          <w:rFonts w:asciiTheme="minorHAnsi" w:hAnsiTheme="minorHAnsi"/>
          <w:szCs w:val="22"/>
        </w:rPr>
      </w:pPr>
      <w:r>
        <w:rPr>
          <w:rFonts w:asciiTheme="minorHAnsi" w:hAnsiTheme="minorHAnsi"/>
          <w:szCs w:val="22"/>
        </w:rPr>
        <w:t xml:space="preserve">Alcohol consumption is high in most </w:t>
      </w:r>
      <w:r w:rsidR="006C7AF2">
        <w:rPr>
          <w:rFonts w:asciiTheme="minorHAnsi" w:hAnsiTheme="minorHAnsi"/>
          <w:szCs w:val="22"/>
        </w:rPr>
        <w:t>Western</w:t>
      </w:r>
      <w:r>
        <w:rPr>
          <w:rFonts w:asciiTheme="minorHAnsi" w:hAnsiTheme="minorHAnsi"/>
          <w:szCs w:val="22"/>
        </w:rPr>
        <w:t xml:space="preserve"> countries, although the United States ranks far below </w:t>
      </w:r>
      <w:r w:rsidR="006C7AF2">
        <w:rPr>
          <w:rFonts w:asciiTheme="minorHAnsi" w:hAnsiTheme="minorHAnsi"/>
          <w:szCs w:val="22"/>
        </w:rPr>
        <w:t>others such as France, Germany, and the United Kingdom.</w:t>
      </w:r>
      <w:r w:rsidR="006C7AF2">
        <w:rPr>
          <w:rStyle w:val="FootnoteReference"/>
          <w:rFonts w:asciiTheme="minorHAnsi" w:hAnsiTheme="minorHAnsi"/>
          <w:szCs w:val="22"/>
        </w:rPr>
        <w:footnoteReference w:id="1"/>
      </w:r>
      <w:r w:rsidR="006C7AF2">
        <w:rPr>
          <w:rFonts w:asciiTheme="minorHAnsi" w:hAnsiTheme="minorHAnsi"/>
          <w:szCs w:val="22"/>
        </w:rPr>
        <w:t xml:space="preserve"> Nevertheless, the 2015 National Survey of Drug Use and Health estimates that</w:t>
      </w:r>
      <w:r w:rsidR="00CE00D8">
        <w:rPr>
          <w:rFonts w:asciiTheme="minorHAnsi" w:hAnsiTheme="minorHAnsi"/>
          <w:szCs w:val="22"/>
        </w:rPr>
        <w:t xml:space="preserve"> nearly</w:t>
      </w:r>
      <w:r w:rsidR="006C7AF2">
        <w:rPr>
          <w:rFonts w:asciiTheme="minorHAnsi" w:hAnsiTheme="minorHAnsi"/>
          <w:szCs w:val="22"/>
        </w:rPr>
        <w:t xml:space="preserve"> 15 million Americans have an alcohol use disorder.</w:t>
      </w:r>
      <w:r w:rsidR="006C7AF2">
        <w:rPr>
          <w:rStyle w:val="FootnoteReference"/>
          <w:rFonts w:asciiTheme="minorHAnsi" w:hAnsiTheme="minorHAnsi"/>
          <w:szCs w:val="22"/>
        </w:rPr>
        <w:footnoteReference w:id="2"/>
      </w:r>
      <w:r w:rsidR="006C7AF2">
        <w:rPr>
          <w:rFonts w:asciiTheme="minorHAnsi" w:hAnsiTheme="minorHAnsi"/>
          <w:szCs w:val="22"/>
        </w:rPr>
        <w:t xml:space="preserve"> In this paper, we explore the leading cause of death from excessive alcohol use, alcoholic liver disease.</w:t>
      </w:r>
    </w:p>
    <w:p w14:paraId="6931043C" w14:textId="77777777" w:rsidR="00D05A17" w:rsidRPr="00190E9E" w:rsidRDefault="00D05A17" w:rsidP="00A02065">
      <w:pPr>
        <w:rPr>
          <w:rFonts w:asciiTheme="minorHAnsi" w:hAnsiTheme="minorHAnsi"/>
          <w:szCs w:val="22"/>
        </w:rPr>
      </w:pPr>
    </w:p>
    <w:p w14:paraId="187C5621" w14:textId="77777777" w:rsidR="00050271" w:rsidRDefault="006C7AF2" w:rsidP="00A02065">
      <w:pPr>
        <w:rPr>
          <w:rFonts w:asciiTheme="minorHAnsi" w:hAnsiTheme="minorHAnsi"/>
          <w:b/>
          <w:szCs w:val="22"/>
        </w:rPr>
      </w:pPr>
      <w:r>
        <w:rPr>
          <w:rFonts w:asciiTheme="minorHAnsi" w:hAnsiTheme="minorHAnsi"/>
          <w:b/>
          <w:szCs w:val="22"/>
        </w:rPr>
        <w:t>What is alcoholic liver disease</w:t>
      </w:r>
      <w:r w:rsidR="00BD7B6B">
        <w:rPr>
          <w:rFonts w:asciiTheme="minorHAnsi" w:hAnsiTheme="minorHAnsi"/>
          <w:b/>
          <w:szCs w:val="22"/>
        </w:rPr>
        <w:t>, and how prevalent is it</w:t>
      </w:r>
      <w:r>
        <w:rPr>
          <w:rFonts w:asciiTheme="minorHAnsi" w:hAnsiTheme="minorHAnsi"/>
          <w:b/>
          <w:szCs w:val="22"/>
        </w:rPr>
        <w:t>?</w:t>
      </w:r>
    </w:p>
    <w:p w14:paraId="7500EBC7" w14:textId="77777777" w:rsidR="006C7AF2" w:rsidRDefault="006C7AF2" w:rsidP="00A02065">
      <w:pPr>
        <w:rPr>
          <w:rFonts w:asciiTheme="minorHAnsi" w:hAnsiTheme="minorHAnsi"/>
          <w:b/>
          <w:szCs w:val="22"/>
        </w:rPr>
      </w:pPr>
    </w:p>
    <w:p w14:paraId="3F622F8C" w14:textId="77777777" w:rsidR="006C7AF2" w:rsidRDefault="006C7AF2" w:rsidP="00A02065">
      <w:pPr>
        <w:rPr>
          <w:rFonts w:asciiTheme="minorHAnsi" w:hAnsiTheme="minorHAnsi"/>
          <w:szCs w:val="22"/>
        </w:rPr>
      </w:pPr>
      <w:r w:rsidRPr="006C7AF2">
        <w:rPr>
          <w:rFonts w:asciiTheme="minorHAnsi" w:hAnsiTheme="minorHAnsi"/>
          <w:szCs w:val="22"/>
        </w:rPr>
        <w:t xml:space="preserve">Alcoholic liver disease is a term that encompasses the liver manifestations of </w:t>
      </w:r>
      <w:r>
        <w:rPr>
          <w:rFonts w:asciiTheme="minorHAnsi" w:hAnsiTheme="minorHAnsi"/>
          <w:szCs w:val="22"/>
        </w:rPr>
        <w:t>excessive alcohol use. These manifestations generally occur on a spectrum, and include:</w:t>
      </w:r>
    </w:p>
    <w:p w14:paraId="34C6EA3F" w14:textId="77777777" w:rsidR="006C7AF2" w:rsidRDefault="006C7AF2" w:rsidP="00A02065">
      <w:pPr>
        <w:rPr>
          <w:rFonts w:asciiTheme="minorHAnsi" w:hAnsiTheme="minorHAnsi"/>
          <w:szCs w:val="22"/>
        </w:rPr>
      </w:pPr>
    </w:p>
    <w:p w14:paraId="4E154B4D" w14:textId="4961AA2E" w:rsidR="006C7AF2" w:rsidRDefault="006C7AF2" w:rsidP="00F35F05">
      <w:pPr>
        <w:pStyle w:val="ListParagraph"/>
        <w:numPr>
          <w:ilvl w:val="0"/>
          <w:numId w:val="2"/>
        </w:numPr>
        <w:spacing w:after="240"/>
        <w:contextualSpacing w:val="0"/>
        <w:rPr>
          <w:rFonts w:asciiTheme="minorHAnsi" w:hAnsiTheme="minorHAnsi"/>
          <w:szCs w:val="22"/>
        </w:rPr>
      </w:pPr>
      <w:r w:rsidRPr="00F35F05">
        <w:rPr>
          <w:rFonts w:asciiTheme="minorHAnsi" w:hAnsiTheme="minorHAnsi"/>
          <w:i/>
          <w:szCs w:val="22"/>
        </w:rPr>
        <w:t>Fatty liver</w:t>
      </w:r>
      <w:r>
        <w:rPr>
          <w:rFonts w:asciiTheme="minorHAnsi" w:hAnsiTheme="minorHAnsi"/>
          <w:szCs w:val="22"/>
        </w:rPr>
        <w:t xml:space="preserve"> – a condition in which fat accumulates in liver cells due to the production of toxins in the liver during the metabolism of alcohol. It occurs in approximately 90% or more of alcohol abusers. Although </w:t>
      </w:r>
      <w:r w:rsidR="00BD7B6B">
        <w:rPr>
          <w:rFonts w:asciiTheme="minorHAnsi" w:hAnsiTheme="minorHAnsi"/>
          <w:szCs w:val="22"/>
        </w:rPr>
        <w:t xml:space="preserve">generally considered benign </w:t>
      </w:r>
      <w:r w:rsidR="00F35F05">
        <w:rPr>
          <w:rFonts w:asciiTheme="minorHAnsi" w:hAnsiTheme="minorHAnsi"/>
          <w:szCs w:val="22"/>
        </w:rPr>
        <w:t>and reversible through abstinence</w:t>
      </w:r>
      <w:r w:rsidR="00BD7B6B">
        <w:rPr>
          <w:rFonts w:asciiTheme="minorHAnsi" w:hAnsiTheme="minorHAnsi"/>
          <w:szCs w:val="22"/>
        </w:rPr>
        <w:t>, it is the first step towards developing liver disease.</w:t>
      </w:r>
    </w:p>
    <w:p w14:paraId="21F6AFB4" w14:textId="77777777" w:rsidR="006C7AF2" w:rsidRDefault="00F35F05" w:rsidP="00F35F05">
      <w:pPr>
        <w:pStyle w:val="ListParagraph"/>
        <w:numPr>
          <w:ilvl w:val="0"/>
          <w:numId w:val="2"/>
        </w:numPr>
        <w:spacing w:after="240"/>
        <w:contextualSpacing w:val="0"/>
        <w:rPr>
          <w:rFonts w:asciiTheme="minorHAnsi" w:hAnsiTheme="minorHAnsi"/>
          <w:szCs w:val="22"/>
        </w:rPr>
      </w:pPr>
      <w:r w:rsidRPr="00F35F05">
        <w:rPr>
          <w:rFonts w:asciiTheme="minorHAnsi" w:hAnsiTheme="minorHAnsi"/>
          <w:i/>
          <w:szCs w:val="22"/>
        </w:rPr>
        <w:t>Hepatitis</w:t>
      </w:r>
      <w:r w:rsidR="00BD7B6B" w:rsidRPr="00F35F05">
        <w:rPr>
          <w:rFonts w:asciiTheme="minorHAnsi" w:hAnsiTheme="minorHAnsi"/>
          <w:i/>
          <w:szCs w:val="22"/>
        </w:rPr>
        <w:t xml:space="preserve"> </w:t>
      </w:r>
      <w:r w:rsidR="00BD7B6B">
        <w:rPr>
          <w:rFonts w:asciiTheme="minorHAnsi" w:hAnsiTheme="minorHAnsi"/>
          <w:szCs w:val="22"/>
        </w:rPr>
        <w:t xml:space="preserve">– </w:t>
      </w:r>
      <w:r>
        <w:rPr>
          <w:rFonts w:asciiTheme="minorHAnsi" w:hAnsiTheme="minorHAnsi"/>
          <w:szCs w:val="22"/>
        </w:rPr>
        <w:t xml:space="preserve">acute </w:t>
      </w:r>
      <w:r w:rsidR="00BD7B6B">
        <w:rPr>
          <w:rFonts w:asciiTheme="minorHAnsi" w:hAnsiTheme="minorHAnsi"/>
          <w:szCs w:val="22"/>
        </w:rPr>
        <w:t>inflammation of the liver due to</w:t>
      </w:r>
      <w:r>
        <w:rPr>
          <w:rFonts w:asciiTheme="minorHAnsi" w:hAnsiTheme="minorHAnsi"/>
          <w:szCs w:val="22"/>
        </w:rPr>
        <w:t xml:space="preserve"> excessive alcohol consumption, </w:t>
      </w:r>
      <w:r w:rsidR="00BD7B6B">
        <w:rPr>
          <w:rFonts w:asciiTheme="minorHAnsi" w:hAnsiTheme="minorHAnsi"/>
          <w:szCs w:val="22"/>
        </w:rPr>
        <w:t xml:space="preserve">considered a reaction to liver cells affected by fatty </w:t>
      </w:r>
      <w:r>
        <w:rPr>
          <w:rFonts w:asciiTheme="minorHAnsi" w:hAnsiTheme="minorHAnsi"/>
          <w:szCs w:val="22"/>
        </w:rPr>
        <w:t>deposits</w:t>
      </w:r>
      <w:r w:rsidR="00BD7B6B">
        <w:rPr>
          <w:rFonts w:asciiTheme="minorHAnsi" w:hAnsiTheme="minorHAnsi"/>
          <w:szCs w:val="22"/>
        </w:rPr>
        <w:t>. It occurs in approximately 10 to 35% of alcohol abusers, and is considered an early state of alcoholic liver disease.</w:t>
      </w:r>
    </w:p>
    <w:p w14:paraId="0FBF40FE" w14:textId="77777777" w:rsidR="00BD7B6B" w:rsidRPr="006C7AF2" w:rsidRDefault="00F35F05" w:rsidP="00F35F05">
      <w:pPr>
        <w:pStyle w:val="ListParagraph"/>
        <w:numPr>
          <w:ilvl w:val="0"/>
          <w:numId w:val="2"/>
        </w:numPr>
        <w:spacing w:after="240"/>
        <w:contextualSpacing w:val="0"/>
        <w:rPr>
          <w:rFonts w:asciiTheme="minorHAnsi" w:hAnsiTheme="minorHAnsi"/>
          <w:szCs w:val="22"/>
        </w:rPr>
      </w:pPr>
      <w:r w:rsidRPr="00F35F05">
        <w:rPr>
          <w:rFonts w:asciiTheme="minorHAnsi" w:hAnsiTheme="minorHAnsi"/>
          <w:i/>
          <w:szCs w:val="22"/>
        </w:rPr>
        <w:t>Cirrhosis</w:t>
      </w:r>
      <w:r>
        <w:rPr>
          <w:rFonts w:asciiTheme="minorHAnsi" w:hAnsiTheme="minorHAnsi"/>
          <w:szCs w:val="22"/>
        </w:rPr>
        <w:t xml:space="preserve"> – the replacement of normal liver tissue by scar tissue due to repeated injury caused by long-term excessive alcohol use. This scar tissue disrupts the normal function of the liver by interfering with blood flow through the organ. Cirrhosis develops in 10 to 20% of individuals who abuse alcohol for a decade or more. </w:t>
      </w:r>
    </w:p>
    <w:p w14:paraId="372D1762" w14:textId="77777777" w:rsidR="006C7AF2" w:rsidRDefault="006C7AF2" w:rsidP="00A02065">
      <w:pPr>
        <w:rPr>
          <w:rFonts w:asciiTheme="minorHAnsi" w:hAnsiTheme="minorHAnsi"/>
          <w:b/>
          <w:szCs w:val="22"/>
        </w:rPr>
      </w:pPr>
    </w:p>
    <w:p w14:paraId="57E6CC8A" w14:textId="77777777" w:rsidR="006C7AF2" w:rsidRDefault="00F35F05" w:rsidP="00A02065">
      <w:pPr>
        <w:rPr>
          <w:rFonts w:asciiTheme="minorHAnsi" w:hAnsiTheme="minorHAnsi"/>
          <w:b/>
          <w:szCs w:val="22"/>
        </w:rPr>
      </w:pPr>
      <w:r>
        <w:rPr>
          <w:rFonts w:asciiTheme="minorHAnsi" w:hAnsiTheme="minorHAnsi"/>
          <w:b/>
          <w:szCs w:val="22"/>
        </w:rPr>
        <w:t>What are the risk factors for</w:t>
      </w:r>
      <w:r w:rsidR="006C7AF2">
        <w:rPr>
          <w:rFonts w:asciiTheme="minorHAnsi" w:hAnsiTheme="minorHAnsi"/>
          <w:b/>
          <w:szCs w:val="22"/>
        </w:rPr>
        <w:t xml:space="preserve"> alcoholic liver disease?</w:t>
      </w:r>
    </w:p>
    <w:p w14:paraId="4C419DFA" w14:textId="77777777" w:rsidR="006C7AF2" w:rsidRPr="006C7AF2" w:rsidRDefault="006C7AF2" w:rsidP="00A02065">
      <w:pPr>
        <w:rPr>
          <w:rFonts w:asciiTheme="minorHAnsi" w:hAnsiTheme="minorHAnsi"/>
          <w:b/>
          <w:szCs w:val="22"/>
        </w:rPr>
      </w:pPr>
    </w:p>
    <w:p w14:paraId="0C56637A" w14:textId="77777777" w:rsidR="00456071" w:rsidRDefault="00D543E8" w:rsidP="00D543E8">
      <w:pPr>
        <w:rPr>
          <w:rFonts w:asciiTheme="minorHAnsi" w:hAnsiTheme="minorHAnsi"/>
          <w:szCs w:val="22"/>
        </w:rPr>
      </w:pPr>
      <w:r>
        <w:rPr>
          <w:rFonts w:asciiTheme="minorHAnsi" w:hAnsiTheme="minorHAnsi"/>
          <w:szCs w:val="22"/>
        </w:rPr>
        <w:t>In general, the greater amount and longer duration of alcohol use the more likely alcoholic liver disease will occur. However, the amount of alcohol consumed before liver damage occurs is extremely variable, with some people being extremely sensitive to the effects of alcohol, with others being less vulnerable to its harmful effects. On average,</w:t>
      </w:r>
      <w:r w:rsidRPr="00D543E8">
        <w:rPr>
          <w:rFonts w:asciiTheme="minorHAnsi" w:hAnsiTheme="minorHAnsi"/>
          <w:szCs w:val="22"/>
        </w:rPr>
        <w:t xml:space="preserve"> </w:t>
      </w:r>
      <w:r>
        <w:rPr>
          <w:rFonts w:asciiTheme="minorHAnsi" w:hAnsiTheme="minorHAnsi"/>
          <w:szCs w:val="22"/>
        </w:rPr>
        <w:t>having</w:t>
      </w:r>
      <w:r w:rsidRPr="00D543E8">
        <w:rPr>
          <w:rFonts w:asciiTheme="minorHAnsi" w:hAnsiTheme="minorHAnsi"/>
          <w:szCs w:val="22"/>
        </w:rPr>
        <w:t xml:space="preserve"> </w:t>
      </w:r>
      <w:r>
        <w:rPr>
          <w:rFonts w:asciiTheme="minorHAnsi" w:hAnsiTheme="minorHAnsi"/>
          <w:szCs w:val="22"/>
        </w:rPr>
        <w:t>six or more drinks of alcohol daily will lead to</w:t>
      </w:r>
      <w:r w:rsidRPr="00D543E8">
        <w:rPr>
          <w:rFonts w:asciiTheme="minorHAnsi" w:hAnsiTheme="minorHAnsi"/>
          <w:szCs w:val="22"/>
        </w:rPr>
        <w:t xml:space="preserve"> cirrhosis of</w:t>
      </w:r>
      <w:r>
        <w:rPr>
          <w:rFonts w:asciiTheme="minorHAnsi" w:hAnsiTheme="minorHAnsi"/>
          <w:szCs w:val="22"/>
        </w:rPr>
        <w:t xml:space="preserve"> the liver in 10 years for men and 5 years for women.</w:t>
      </w:r>
      <w:r>
        <w:rPr>
          <w:rStyle w:val="FootnoteReference"/>
          <w:rFonts w:asciiTheme="minorHAnsi" w:hAnsiTheme="minorHAnsi"/>
          <w:szCs w:val="22"/>
        </w:rPr>
        <w:footnoteReference w:id="3"/>
      </w:r>
    </w:p>
    <w:p w14:paraId="6933091F" w14:textId="77777777" w:rsidR="00D543E8" w:rsidRDefault="00D543E8" w:rsidP="00D543E8">
      <w:pPr>
        <w:rPr>
          <w:rFonts w:asciiTheme="minorHAnsi" w:hAnsiTheme="minorHAnsi"/>
          <w:szCs w:val="22"/>
        </w:rPr>
      </w:pPr>
    </w:p>
    <w:p w14:paraId="65F1E73D" w14:textId="77777777" w:rsidR="00D543E8" w:rsidRDefault="00D543E8" w:rsidP="00D543E8">
      <w:pPr>
        <w:rPr>
          <w:rFonts w:asciiTheme="minorHAnsi" w:hAnsiTheme="minorHAnsi"/>
          <w:szCs w:val="22"/>
        </w:rPr>
      </w:pPr>
      <w:r>
        <w:rPr>
          <w:rFonts w:asciiTheme="minorHAnsi" w:hAnsiTheme="minorHAnsi"/>
          <w:szCs w:val="22"/>
        </w:rPr>
        <w:t>It is unknown why women are more susceptible to alcoholic liver disease than men. Even when adjusted for body size, women are still at a greater risk for liver damage at lower quantities of alcohol.</w:t>
      </w:r>
      <w:r w:rsidR="00476141">
        <w:rPr>
          <w:rFonts w:asciiTheme="minorHAnsi" w:hAnsiTheme="minorHAnsi"/>
          <w:szCs w:val="22"/>
        </w:rPr>
        <w:t xml:space="preserve"> It is theorized that </w:t>
      </w:r>
      <w:r w:rsidR="00F82807">
        <w:rPr>
          <w:rFonts w:asciiTheme="minorHAnsi" w:hAnsiTheme="minorHAnsi"/>
          <w:szCs w:val="22"/>
        </w:rPr>
        <w:t>differences in fat absorption and digestive enzymes may account for this phenomenon.</w:t>
      </w:r>
      <w:r w:rsidR="00F82807">
        <w:rPr>
          <w:rStyle w:val="FootnoteReference"/>
          <w:rFonts w:asciiTheme="minorHAnsi" w:hAnsiTheme="minorHAnsi"/>
          <w:szCs w:val="22"/>
        </w:rPr>
        <w:footnoteReference w:id="4"/>
      </w:r>
    </w:p>
    <w:p w14:paraId="0C410E78" w14:textId="77777777" w:rsidR="00F82807" w:rsidRDefault="00F82807" w:rsidP="00F82807">
      <w:pPr>
        <w:spacing w:after="240"/>
        <w:rPr>
          <w:rFonts w:asciiTheme="minorHAnsi" w:hAnsiTheme="minorHAnsi"/>
          <w:szCs w:val="22"/>
        </w:rPr>
      </w:pPr>
      <w:r>
        <w:rPr>
          <w:rFonts w:asciiTheme="minorHAnsi" w:hAnsiTheme="minorHAnsi"/>
          <w:szCs w:val="22"/>
        </w:rPr>
        <w:lastRenderedPageBreak/>
        <w:t>Other known risk factors for alcoholic liver disease include:</w:t>
      </w:r>
      <w:r w:rsidR="008D1980">
        <w:rPr>
          <w:rStyle w:val="FootnoteReference"/>
          <w:rFonts w:asciiTheme="minorHAnsi" w:hAnsiTheme="minorHAnsi"/>
          <w:szCs w:val="22"/>
        </w:rPr>
        <w:footnoteReference w:id="5"/>
      </w:r>
    </w:p>
    <w:p w14:paraId="36D4B603" w14:textId="761790BF" w:rsidR="00F82807" w:rsidRDefault="00F82807" w:rsidP="00F82807">
      <w:pPr>
        <w:pStyle w:val="ListParagraph"/>
        <w:numPr>
          <w:ilvl w:val="0"/>
          <w:numId w:val="3"/>
        </w:numPr>
        <w:spacing w:after="240"/>
        <w:contextualSpacing w:val="0"/>
        <w:rPr>
          <w:rFonts w:asciiTheme="minorHAnsi" w:hAnsiTheme="minorHAnsi"/>
          <w:szCs w:val="22"/>
        </w:rPr>
      </w:pPr>
      <w:r w:rsidRPr="008D1980">
        <w:rPr>
          <w:rFonts w:asciiTheme="minorHAnsi" w:hAnsiTheme="minorHAnsi"/>
          <w:i/>
          <w:szCs w:val="22"/>
        </w:rPr>
        <w:t>Genetic factors</w:t>
      </w:r>
      <w:r>
        <w:rPr>
          <w:rFonts w:asciiTheme="minorHAnsi" w:hAnsiTheme="minorHAnsi"/>
          <w:szCs w:val="22"/>
        </w:rPr>
        <w:t xml:space="preserve"> – genetics predispose individuals to both alcoholism and the risk of developing alcoholic liver disease. Genetic differences in the production </w:t>
      </w:r>
      <w:r w:rsidR="00370D4B">
        <w:rPr>
          <w:rFonts w:asciiTheme="minorHAnsi" w:hAnsiTheme="minorHAnsi"/>
          <w:szCs w:val="22"/>
        </w:rPr>
        <w:t>of</w:t>
      </w:r>
      <w:r>
        <w:rPr>
          <w:rFonts w:asciiTheme="minorHAnsi" w:hAnsiTheme="minorHAnsi"/>
          <w:szCs w:val="22"/>
        </w:rPr>
        <w:t xml:space="preserve"> digestive enzymes involved in the metabolism of alcohol may explain why this is true.</w:t>
      </w:r>
    </w:p>
    <w:p w14:paraId="19574F35" w14:textId="77777777" w:rsidR="008D1980" w:rsidRPr="000568AB" w:rsidRDefault="00F82807" w:rsidP="00190E9E">
      <w:pPr>
        <w:pStyle w:val="ListParagraph"/>
        <w:numPr>
          <w:ilvl w:val="0"/>
          <w:numId w:val="3"/>
        </w:numPr>
        <w:spacing w:after="240"/>
        <w:contextualSpacing w:val="0"/>
        <w:rPr>
          <w:rFonts w:asciiTheme="minorHAnsi" w:hAnsiTheme="minorHAnsi"/>
          <w:szCs w:val="22"/>
        </w:rPr>
      </w:pPr>
      <w:r w:rsidRPr="008D1980">
        <w:rPr>
          <w:rFonts w:asciiTheme="minorHAnsi" w:hAnsiTheme="minorHAnsi"/>
          <w:i/>
          <w:szCs w:val="22"/>
        </w:rPr>
        <w:t xml:space="preserve">Diet </w:t>
      </w:r>
      <w:r>
        <w:rPr>
          <w:rFonts w:asciiTheme="minorHAnsi" w:hAnsiTheme="minorHAnsi"/>
          <w:szCs w:val="22"/>
        </w:rPr>
        <w:t>– drinking outside of meal times increases the risk of alcoholic liver disease by nearly three times. Furthermore, vitamin deficiencies caused by malnutrition can worsen liver damage by inhibiting the regeneration of liver cells.</w:t>
      </w:r>
    </w:p>
    <w:p w14:paraId="45866DFC" w14:textId="65F754BA" w:rsidR="008D1980" w:rsidRDefault="008D1980" w:rsidP="00190E9E">
      <w:pPr>
        <w:spacing w:after="240"/>
        <w:rPr>
          <w:rFonts w:asciiTheme="minorHAnsi" w:hAnsiTheme="minorHAnsi"/>
          <w:b/>
          <w:szCs w:val="22"/>
        </w:rPr>
      </w:pPr>
      <w:r>
        <w:rPr>
          <w:rFonts w:asciiTheme="minorHAnsi" w:hAnsiTheme="minorHAnsi"/>
          <w:b/>
          <w:szCs w:val="22"/>
        </w:rPr>
        <w:t>What</w:t>
      </w:r>
      <w:r w:rsidR="000A6BB0">
        <w:rPr>
          <w:rFonts w:asciiTheme="minorHAnsi" w:hAnsiTheme="minorHAnsi"/>
          <w:b/>
          <w:szCs w:val="22"/>
        </w:rPr>
        <w:t xml:space="preserve"> is the prevalence of and what</w:t>
      </w:r>
      <w:r>
        <w:rPr>
          <w:rFonts w:asciiTheme="minorHAnsi" w:hAnsiTheme="minorHAnsi"/>
          <w:b/>
          <w:szCs w:val="22"/>
        </w:rPr>
        <w:t xml:space="preserve"> are the trends in alcoholic liver disease-related deaths?</w:t>
      </w:r>
    </w:p>
    <w:p w14:paraId="51362C32" w14:textId="77777777" w:rsidR="008D1980" w:rsidRDefault="008D1980" w:rsidP="00190E9E">
      <w:pPr>
        <w:spacing w:after="240"/>
        <w:rPr>
          <w:rFonts w:asciiTheme="minorHAnsi" w:hAnsiTheme="minorHAnsi"/>
          <w:szCs w:val="22"/>
        </w:rPr>
      </w:pPr>
      <w:r w:rsidRPr="008D1980">
        <w:rPr>
          <w:rFonts w:asciiTheme="minorHAnsi" w:hAnsiTheme="minorHAnsi"/>
          <w:szCs w:val="22"/>
        </w:rPr>
        <w:t>In 2013, liver cirrhosis was the 12th leading cause of death in the United States, with a total of 37,890 deaths</w:t>
      </w:r>
      <w:r w:rsidR="0071099C">
        <w:rPr>
          <w:rFonts w:asciiTheme="minorHAnsi" w:hAnsiTheme="minorHAnsi"/>
          <w:szCs w:val="22"/>
        </w:rPr>
        <w:t xml:space="preserve">. </w:t>
      </w:r>
      <w:r>
        <w:rPr>
          <w:rFonts w:asciiTheme="minorHAnsi" w:hAnsiTheme="minorHAnsi"/>
          <w:szCs w:val="22"/>
        </w:rPr>
        <w:t xml:space="preserve">Nationwide, the </w:t>
      </w:r>
      <w:r w:rsidRPr="008D1980">
        <w:rPr>
          <w:rFonts w:asciiTheme="minorHAnsi" w:hAnsiTheme="minorHAnsi"/>
          <w:szCs w:val="22"/>
        </w:rPr>
        <w:t>death rate from alcohol-related liver cirrhosis increased by 18.6 percent</w:t>
      </w:r>
      <w:r>
        <w:rPr>
          <w:rFonts w:asciiTheme="minorHAnsi" w:hAnsiTheme="minorHAnsi"/>
          <w:szCs w:val="22"/>
        </w:rPr>
        <w:t xml:space="preserve"> between 2000 and 2013</w:t>
      </w:r>
      <w:r w:rsidRPr="008D1980">
        <w:rPr>
          <w:rFonts w:asciiTheme="minorHAnsi" w:hAnsiTheme="minorHAnsi"/>
          <w:szCs w:val="22"/>
        </w:rPr>
        <w:t>, from 4.3 deaths per 100,000 population to 5</w:t>
      </w:r>
      <w:r>
        <w:rPr>
          <w:rFonts w:asciiTheme="minorHAnsi" w:hAnsiTheme="minorHAnsi"/>
          <w:szCs w:val="22"/>
        </w:rPr>
        <w:t>.1 deaths per 100,000 population</w:t>
      </w:r>
      <w:r w:rsidRPr="008D1980">
        <w:rPr>
          <w:rFonts w:asciiTheme="minorHAnsi" w:hAnsiTheme="minorHAnsi"/>
          <w:szCs w:val="22"/>
        </w:rPr>
        <w:t xml:space="preserve">. Rates </w:t>
      </w:r>
      <w:r>
        <w:rPr>
          <w:rFonts w:asciiTheme="minorHAnsi" w:hAnsiTheme="minorHAnsi"/>
          <w:szCs w:val="22"/>
        </w:rPr>
        <w:t>increased the most for White males</w:t>
      </w:r>
      <w:r w:rsidRPr="008D1980">
        <w:rPr>
          <w:rFonts w:asciiTheme="minorHAnsi" w:hAnsiTheme="minorHAnsi"/>
          <w:szCs w:val="22"/>
        </w:rPr>
        <w:t xml:space="preserve"> </w:t>
      </w:r>
      <w:r>
        <w:rPr>
          <w:rFonts w:asciiTheme="minorHAnsi" w:hAnsiTheme="minorHAnsi"/>
          <w:szCs w:val="22"/>
        </w:rPr>
        <w:t>(19%), White females (</w:t>
      </w:r>
      <w:r w:rsidRPr="008D1980">
        <w:rPr>
          <w:rFonts w:asciiTheme="minorHAnsi" w:hAnsiTheme="minorHAnsi"/>
          <w:szCs w:val="22"/>
        </w:rPr>
        <w:t>50</w:t>
      </w:r>
      <w:r>
        <w:rPr>
          <w:rFonts w:asciiTheme="minorHAnsi" w:hAnsiTheme="minorHAnsi"/>
          <w:szCs w:val="22"/>
        </w:rPr>
        <w:t>%)</w:t>
      </w:r>
      <w:r w:rsidRPr="008D1980">
        <w:rPr>
          <w:rFonts w:asciiTheme="minorHAnsi" w:hAnsiTheme="minorHAnsi"/>
          <w:szCs w:val="22"/>
        </w:rPr>
        <w:t>,</w:t>
      </w:r>
      <w:r>
        <w:rPr>
          <w:rFonts w:asciiTheme="minorHAnsi" w:hAnsiTheme="minorHAnsi"/>
          <w:szCs w:val="22"/>
        </w:rPr>
        <w:t xml:space="preserve"> and individuals aged 25-34 (55%).</w:t>
      </w:r>
      <w:r>
        <w:rPr>
          <w:rStyle w:val="FootnoteReference"/>
          <w:rFonts w:asciiTheme="minorHAnsi" w:hAnsiTheme="minorHAnsi"/>
          <w:szCs w:val="22"/>
        </w:rPr>
        <w:footnoteReference w:id="6"/>
      </w:r>
    </w:p>
    <w:p w14:paraId="264A573A" w14:textId="77777777" w:rsidR="0071099C" w:rsidRPr="008D1980" w:rsidRDefault="000568AB" w:rsidP="00190E9E">
      <w:pPr>
        <w:spacing w:after="240"/>
        <w:rPr>
          <w:rFonts w:asciiTheme="minorHAnsi" w:hAnsiTheme="minorHAnsi"/>
          <w:szCs w:val="22"/>
        </w:rPr>
      </w:pPr>
      <w:r>
        <w:rPr>
          <w:rFonts w:asciiTheme="minorHAnsi" w:hAnsiTheme="minorHAnsi"/>
          <w:szCs w:val="22"/>
        </w:rPr>
        <w:t xml:space="preserve">The figures below show the leading causes of alcohol-related death and trends in alcohol-related death in New Mexico, courtesy of the New Mexico Department of Health Epidemiology and Response Division. </w:t>
      </w:r>
    </w:p>
    <w:p w14:paraId="0D01167A" w14:textId="2CC89036" w:rsidR="00190E9E" w:rsidRDefault="00190E9E" w:rsidP="00190E9E">
      <w:pPr>
        <w:spacing w:after="240"/>
        <w:rPr>
          <w:rFonts w:asciiTheme="minorHAnsi" w:hAnsiTheme="minorHAnsi"/>
          <w:b/>
          <w:szCs w:val="22"/>
        </w:rPr>
      </w:pPr>
      <w:r w:rsidRPr="00190E9E">
        <w:rPr>
          <w:rFonts w:asciiTheme="minorHAnsi" w:hAnsiTheme="minorHAnsi"/>
          <w:b/>
          <w:szCs w:val="22"/>
        </w:rPr>
        <w:t xml:space="preserve">Figure 1. </w:t>
      </w:r>
      <w:r w:rsidR="000568AB">
        <w:rPr>
          <w:rFonts w:asciiTheme="minorHAnsi" w:hAnsiTheme="minorHAnsi"/>
          <w:b/>
          <w:szCs w:val="22"/>
        </w:rPr>
        <w:t>Alcohol-</w:t>
      </w:r>
      <w:r w:rsidR="00A625F2">
        <w:rPr>
          <w:rFonts w:asciiTheme="minorHAnsi" w:hAnsiTheme="minorHAnsi"/>
          <w:b/>
          <w:szCs w:val="22"/>
        </w:rPr>
        <w:t>r</w:t>
      </w:r>
      <w:r w:rsidR="000568AB">
        <w:rPr>
          <w:rFonts w:asciiTheme="minorHAnsi" w:hAnsiTheme="minorHAnsi"/>
          <w:b/>
          <w:szCs w:val="22"/>
        </w:rPr>
        <w:t xml:space="preserve">elated </w:t>
      </w:r>
      <w:r w:rsidR="00A625F2">
        <w:rPr>
          <w:rFonts w:asciiTheme="minorHAnsi" w:hAnsiTheme="minorHAnsi"/>
          <w:b/>
          <w:szCs w:val="22"/>
        </w:rPr>
        <w:t>d</w:t>
      </w:r>
      <w:r w:rsidR="000568AB">
        <w:rPr>
          <w:rFonts w:asciiTheme="minorHAnsi" w:hAnsiTheme="minorHAnsi"/>
          <w:b/>
          <w:szCs w:val="22"/>
        </w:rPr>
        <w:t xml:space="preserve">eath by </w:t>
      </w:r>
      <w:r w:rsidR="00A625F2">
        <w:rPr>
          <w:rFonts w:asciiTheme="minorHAnsi" w:hAnsiTheme="minorHAnsi"/>
          <w:b/>
          <w:szCs w:val="22"/>
        </w:rPr>
        <w:t>y</w:t>
      </w:r>
      <w:r w:rsidR="000568AB">
        <w:rPr>
          <w:rFonts w:asciiTheme="minorHAnsi" w:hAnsiTheme="minorHAnsi"/>
          <w:b/>
          <w:szCs w:val="22"/>
        </w:rPr>
        <w:t>ear</w:t>
      </w:r>
      <w:r w:rsidR="00095A79">
        <w:rPr>
          <w:rFonts w:asciiTheme="minorHAnsi" w:hAnsiTheme="minorHAnsi"/>
          <w:b/>
          <w:szCs w:val="22"/>
        </w:rPr>
        <w:t xml:space="preserve"> in</w:t>
      </w:r>
      <w:r w:rsidR="000568AB">
        <w:rPr>
          <w:rFonts w:asciiTheme="minorHAnsi" w:hAnsiTheme="minorHAnsi"/>
          <w:b/>
          <w:szCs w:val="22"/>
        </w:rPr>
        <w:t xml:space="preserve"> N</w:t>
      </w:r>
      <w:r w:rsidR="00095A79">
        <w:rPr>
          <w:rFonts w:asciiTheme="minorHAnsi" w:hAnsiTheme="minorHAnsi"/>
          <w:b/>
          <w:szCs w:val="22"/>
        </w:rPr>
        <w:t xml:space="preserve">ew </w:t>
      </w:r>
      <w:r w:rsidR="000568AB">
        <w:rPr>
          <w:rFonts w:asciiTheme="minorHAnsi" w:hAnsiTheme="minorHAnsi"/>
          <w:b/>
          <w:szCs w:val="22"/>
        </w:rPr>
        <w:t>M</w:t>
      </w:r>
      <w:r w:rsidR="00095A79">
        <w:rPr>
          <w:rFonts w:asciiTheme="minorHAnsi" w:hAnsiTheme="minorHAnsi"/>
          <w:b/>
          <w:szCs w:val="22"/>
        </w:rPr>
        <w:t>exico and the United States,</w:t>
      </w:r>
      <w:r w:rsidR="000568AB">
        <w:rPr>
          <w:rFonts w:asciiTheme="minorHAnsi" w:hAnsiTheme="minorHAnsi"/>
          <w:b/>
          <w:szCs w:val="22"/>
        </w:rPr>
        <w:t xml:space="preserve"> 1990-2015</w:t>
      </w:r>
    </w:p>
    <w:p w14:paraId="7DC807F4" w14:textId="77777777" w:rsidR="00456071" w:rsidRPr="000568AB" w:rsidRDefault="000568AB" w:rsidP="000568AB">
      <w:pPr>
        <w:spacing w:after="240"/>
        <w:rPr>
          <w:rFonts w:asciiTheme="minorHAnsi" w:hAnsiTheme="minorHAnsi"/>
          <w:b/>
          <w:szCs w:val="22"/>
        </w:rPr>
      </w:pPr>
      <w:r w:rsidRPr="000568AB">
        <w:rPr>
          <w:rFonts w:asciiTheme="minorHAnsi" w:hAnsiTheme="minorHAnsi"/>
          <w:b/>
          <w:noProof/>
          <w:szCs w:val="22"/>
        </w:rPr>
        <w:drawing>
          <wp:inline distT="0" distB="0" distL="0" distR="0" wp14:anchorId="68390623" wp14:editId="12432FC1">
            <wp:extent cx="6050280" cy="2842260"/>
            <wp:effectExtent l="0" t="0" r="7620" b="15240"/>
            <wp:docPr id="7" name="Chart 7">
              <a:extLst xmlns:a="http://schemas.openxmlformats.org/drawingml/2006/main"/>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E62056" w14:textId="208422FF" w:rsidR="00190E9E" w:rsidRDefault="00190E9E" w:rsidP="00456071">
      <w:pPr>
        <w:rPr>
          <w:rFonts w:asciiTheme="minorHAnsi" w:hAnsiTheme="minorHAnsi"/>
          <w:sz w:val="22"/>
          <w:szCs w:val="22"/>
        </w:rPr>
      </w:pPr>
      <w:r w:rsidRPr="00190E9E">
        <w:rPr>
          <w:rFonts w:asciiTheme="minorHAnsi" w:hAnsiTheme="minorHAnsi"/>
          <w:sz w:val="22"/>
          <w:szCs w:val="22"/>
        </w:rPr>
        <w:t>Source: New Mexico Department of Health, Epidemiology and Response Division</w:t>
      </w:r>
      <w:r w:rsidR="00095A79">
        <w:rPr>
          <w:rFonts w:asciiTheme="minorHAnsi" w:hAnsiTheme="minorHAnsi"/>
          <w:sz w:val="22"/>
          <w:szCs w:val="22"/>
        </w:rPr>
        <w:t xml:space="preserve">. </w:t>
      </w:r>
      <w:r w:rsidR="00095A79" w:rsidRPr="000A6BB0">
        <w:rPr>
          <w:rFonts w:asciiTheme="minorHAnsi" w:hAnsiTheme="minorHAnsi"/>
          <w:sz w:val="22"/>
          <w:szCs w:val="22"/>
        </w:rPr>
        <w:t>All rates are per 100,000, age-adjusted to the 2000 US standard population</w:t>
      </w:r>
      <w:r w:rsidR="00095A79">
        <w:rPr>
          <w:rFonts w:asciiTheme="minorHAnsi" w:hAnsiTheme="minorHAnsi"/>
          <w:sz w:val="22"/>
          <w:szCs w:val="22"/>
        </w:rPr>
        <w:t>.</w:t>
      </w:r>
    </w:p>
    <w:p w14:paraId="26D1789B" w14:textId="0850A877" w:rsidR="00370D4B" w:rsidRDefault="00370D4B" w:rsidP="00370D4B">
      <w:pPr>
        <w:spacing w:after="240" w:line="259" w:lineRule="auto"/>
        <w:rPr>
          <w:rFonts w:asciiTheme="minorHAnsi" w:hAnsiTheme="minorHAnsi"/>
          <w:szCs w:val="22"/>
        </w:rPr>
      </w:pPr>
      <w:r>
        <w:rPr>
          <w:rFonts w:asciiTheme="minorHAnsi" w:hAnsiTheme="minorHAnsi"/>
          <w:szCs w:val="22"/>
        </w:rPr>
        <w:lastRenderedPageBreak/>
        <w:t>Figure 1 indicates that there was a steady increase in the total number of alcohol-related deaths in the 1990s and 2000s. Since 2010, there has been a sharp increase in the number of alcohol-related deaths, which is being largely driven by increases in alcoholic liver disease-related deaths. Between 2010 and 2015, deaths from alcoholic liver disease in New Mexico increased by 56%, from 23.0 per 100,000 population to 35.8 per 100,000 population.</w:t>
      </w:r>
    </w:p>
    <w:p w14:paraId="00737776" w14:textId="4D4B5058" w:rsidR="00A66BDF" w:rsidRPr="00A66BDF" w:rsidRDefault="00A66BDF" w:rsidP="000568AB">
      <w:pPr>
        <w:spacing w:after="240"/>
        <w:rPr>
          <w:rFonts w:asciiTheme="minorHAnsi" w:hAnsiTheme="minorHAnsi"/>
          <w:b/>
          <w:szCs w:val="22"/>
        </w:rPr>
      </w:pPr>
      <w:r w:rsidRPr="00A66BDF">
        <w:rPr>
          <w:rFonts w:asciiTheme="minorHAnsi" w:hAnsiTheme="minorHAnsi"/>
          <w:b/>
          <w:szCs w:val="22"/>
        </w:rPr>
        <w:t xml:space="preserve">Figure 2. </w:t>
      </w:r>
      <w:r w:rsidR="000568AB">
        <w:rPr>
          <w:rFonts w:asciiTheme="minorHAnsi" w:hAnsiTheme="minorHAnsi"/>
          <w:b/>
          <w:szCs w:val="22"/>
        </w:rPr>
        <w:t>Alcohol-</w:t>
      </w:r>
      <w:r w:rsidR="00A625F2">
        <w:rPr>
          <w:rFonts w:asciiTheme="minorHAnsi" w:hAnsiTheme="minorHAnsi"/>
          <w:b/>
          <w:szCs w:val="22"/>
        </w:rPr>
        <w:t>r</w:t>
      </w:r>
      <w:r w:rsidR="000568AB">
        <w:rPr>
          <w:rFonts w:asciiTheme="minorHAnsi" w:hAnsiTheme="minorHAnsi"/>
          <w:b/>
          <w:szCs w:val="22"/>
        </w:rPr>
        <w:t xml:space="preserve">elated </w:t>
      </w:r>
      <w:r w:rsidR="00A625F2">
        <w:rPr>
          <w:rFonts w:asciiTheme="minorHAnsi" w:hAnsiTheme="minorHAnsi"/>
          <w:b/>
          <w:szCs w:val="22"/>
        </w:rPr>
        <w:t>d</w:t>
      </w:r>
      <w:r w:rsidR="000568AB">
        <w:rPr>
          <w:rFonts w:asciiTheme="minorHAnsi" w:hAnsiTheme="minorHAnsi"/>
          <w:b/>
          <w:szCs w:val="22"/>
        </w:rPr>
        <w:t xml:space="preserve">eath by </w:t>
      </w:r>
      <w:r w:rsidR="00A625F2">
        <w:rPr>
          <w:rFonts w:asciiTheme="minorHAnsi" w:hAnsiTheme="minorHAnsi"/>
          <w:b/>
          <w:szCs w:val="22"/>
        </w:rPr>
        <w:t>c</w:t>
      </w:r>
      <w:r w:rsidR="000568AB">
        <w:rPr>
          <w:rFonts w:asciiTheme="minorHAnsi" w:hAnsiTheme="minorHAnsi"/>
          <w:b/>
          <w:szCs w:val="22"/>
        </w:rPr>
        <w:t xml:space="preserve">ause of </w:t>
      </w:r>
      <w:r w:rsidR="00A625F2">
        <w:rPr>
          <w:rFonts w:asciiTheme="minorHAnsi" w:hAnsiTheme="minorHAnsi"/>
          <w:b/>
          <w:szCs w:val="22"/>
        </w:rPr>
        <w:t>d</w:t>
      </w:r>
      <w:r w:rsidR="000568AB">
        <w:rPr>
          <w:rFonts w:asciiTheme="minorHAnsi" w:hAnsiTheme="minorHAnsi"/>
          <w:b/>
          <w:szCs w:val="22"/>
        </w:rPr>
        <w:t>eath, 2011-2015</w:t>
      </w:r>
      <w:r w:rsidRPr="00A66BDF">
        <w:rPr>
          <w:rFonts w:asciiTheme="minorHAnsi" w:hAnsiTheme="minorHAnsi"/>
          <w:b/>
          <w:szCs w:val="22"/>
        </w:rPr>
        <w:t xml:space="preserve"> </w:t>
      </w:r>
    </w:p>
    <w:p w14:paraId="68BA92DA" w14:textId="77777777" w:rsidR="00607FB6" w:rsidRDefault="000568AB" w:rsidP="001230AC">
      <w:pPr>
        <w:spacing w:after="160" w:line="259" w:lineRule="auto"/>
        <w:jc w:val="center"/>
        <w:rPr>
          <w:rFonts w:asciiTheme="minorHAnsi" w:hAnsiTheme="minorHAnsi"/>
          <w:szCs w:val="22"/>
        </w:rPr>
      </w:pPr>
      <w:r w:rsidRPr="000568AB">
        <w:rPr>
          <w:rFonts w:asciiTheme="minorHAnsi" w:hAnsiTheme="minorHAnsi"/>
          <w:noProof/>
          <w:szCs w:val="22"/>
        </w:rPr>
        <w:drawing>
          <wp:inline distT="0" distB="0" distL="0" distR="0" wp14:anchorId="0AB1ADA8" wp14:editId="0DF87341">
            <wp:extent cx="5943600" cy="2855595"/>
            <wp:effectExtent l="0" t="0" r="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A09CBF" w14:textId="77777777" w:rsidR="001230AC" w:rsidRDefault="001230AC" w:rsidP="000568AB">
      <w:pPr>
        <w:spacing w:line="259" w:lineRule="auto"/>
        <w:ind w:right="1260"/>
        <w:rPr>
          <w:rFonts w:asciiTheme="minorHAnsi" w:hAnsiTheme="minorHAnsi"/>
          <w:sz w:val="22"/>
          <w:szCs w:val="22"/>
        </w:rPr>
      </w:pPr>
      <w:r w:rsidRPr="00CC795C">
        <w:rPr>
          <w:rFonts w:asciiTheme="minorHAnsi" w:hAnsiTheme="minorHAnsi"/>
          <w:sz w:val="22"/>
          <w:szCs w:val="22"/>
        </w:rPr>
        <w:t>Source: New Mexico Department of Health, Epidemiology and Response Division</w:t>
      </w:r>
    </w:p>
    <w:p w14:paraId="24AA31BE" w14:textId="77777777" w:rsidR="00CC795C" w:rsidRPr="00CC795C" w:rsidRDefault="00CC795C" w:rsidP="00CC795C">
      <w:pPr>
        <w:spacing w:line="259" w:lineRule="auto"/>
        <w:ind w:right="1260"/>
        <w:rPr>
          <w:rFonts w:asciiTheme="minorHAnsi" w:hAnsiTheme="minorHAnsi"/>
          <w:szCs w:val="22"/>
        </w:rPr>
      </w:pPr>
    </w:p>
    <w:p w14:paraId="151CAD28" w14:textId="536261B6" w:rsidR="009661ED" w:rsidRDefault="007B1E38" w:rsidP="00A02065">
      <w:pPr>
        <w:spacing w:after="160" w:line="259" w:lineRule="auto"/>
        <w:rPr>
          <w:rFonts w:asciiTheme="minorHAnsi" w:hAnsiTheme="minorHAnsi"/>
          <w:szCs w:val="22"/>
        </w:rPr>
      </w:pPr>
      <w:r>
        <w:rPr>
          <w:rFonts w:asciiTheme="minorHAnsi" w:hAnsiTheme="minorHAnsi"/>
          <w:szCs w:val="22"/>
        </w:rPr>
        <w:t xml:space="preserve">Figure 2 shows that alcoholic liver disease accounts for approximately one in four alcohol-related deaths in New Mexico. Another 10% of deaths are from liver cirrhosis not directly attributed to alcoholic liver disease, and </w:t>
      </w:r>
      <w:r w:rsidR="007722FD">
        <w:rPr>
          <w:rFonts w:asciiTheme="minorHAnsi" w:hAnsiTheme="minorHAnsi"/>
          <w:szCs w:val="22"/>
        </w:rPr>
        <w:t>another 10% are from alcohol consumption mixed with other drug abuse.</w:t>
      </w:r>
    </w:p>
    <w:p w14:paraId="7DE3D471" w14:textId="347F22AB" w:rsidR="000A6BB0" w:rsidRDefault="000A6BB0" w:rsidP="000A6BB0">
      <w:pPr>
        <w:spacing w:after="160" w:line="256" w:lineRule="auto"/>
        <w:rPr>
          <w:rFonts w:asciiTheme="minorHAnsi" w:hAnsiTheme="minorHAnsi"/>
          <w:szCs w:val="22"/>
        </w:rPr>
      </w:pPr>
      <w:r>
        <w:rPr>
          <w:rFonts w:asciiTheme="minorHAnsi" w:hAnsiTheme="minorHAnsi"/>
          <w:szCs w:val="22"/>
        </w:rPr>
        <w:t xml:space="preserve">Table 1 breaks down heavy drinking rates by age, sex, and race/ethnicity in New Mexico. Overall, men tend to have rates of </w:t>
      </w:r>
      <w:r w:rsidR="00391EDC">
        <w:rPr>
          <w:rFonts w:asciiTheme="minorHAnsi" w:hAnsiTheme="minorHAnsi"/>
          <w:szCs w:val="22"/>
        </w:rPr>
        <w:t>alcoholic liver disease</w:t>
      </w:r>
      <w:r>
        <w:rPr>
          <w:rFonts w:asciiTheme="minorHAnsi" w:hAnsiTheme="minorHAnsi"/>
          <w:szCs w:val="22"/>
        </w:rPr>
        <w:t xml:space="preserve"> </w:t>
      </w:r>
      <w:r w:rsidR="00391EDC">
        <w:rPr>
          <w:rFonts w:asciiTheme="minorHAnsi" w:hAnsiTheme="minorHAnsi"/>
          <w:szCs w:val="22"/>
        </w:rPr>
        <w:t xml:space="preserve">nearly double that of </w:t>
      </w:r>
      <w:r>
        <w:rPr>
          <w:rFonts w:asciiTheme="minorHAnsi" w:hAnsiTheme="minorHAnsi"/>
          <w:szCs w:val="22"/>
        </w:rPr>
        <w:t>women (</w:t>
      </w:r>
      <w:r w:rsidR="00391EDC">
        <w:rPr>
          <w:rFonts w:asciiTheme="minorHAnsi" w:hAnsiTheme="minorHAnsi"/>
          <w:szCs w:val="22"/>
        </w:rPr>
        <w:t>25.5 versus 13.3</w:t>
      </w:r>
      <w:r>
        <w:rPr>
          <w:rFonts w:asciiTheme="minorHAnsi" w:hAnsiTheme="minorHAnsi"/>
          <w:szCs w:val="22"/>
        </w:rPr>
        <w:t xml:space="preserve">). Rates of heavy drinking are highest among American Indian </w:t>
      </w:r>
      <w:r w:rsidR="00391EDC">
        <w:rPr>
          <w:rFonts w:asciiTheme="minorHAnsi" w:hAnsiTheme="minorHAnsi"/>
          <w:szCs w:val="22"/>
        </w:rPr>
        <w:t>men and women</w:t>
      </w:r>
      <w:r>
        <w:rPr>
          <w:rFonts w:asciiTheme="minorHAnsi" w:hAnsiTheme="minorHAnsi"/>
          <w:szCs w:val="22"/>
        </w:rPr>
        <w:t xml:space="preserve"> (</w:t>
      </w:r>
      <w:r w:rsidR="00391EDC">
        <w:rPr>
          <w:rFonts w:asciiTheme="minorHAnsi" w:hAnsiTheme="minorHAnsi"/>
          <w:szCs w:val="22"/>
        </w:rPr>
        <w:t>80.9 and 52.2</w:t>
      </w:r>
      <w:r>
        <w:rPr>
          <w:rFonts w:asciiTheme="minorHAnsi" w:hAnsiTheme="minorHAnsi"/>
          <w:szCs w:val="22"/>
        </w:rPr>
        <w:t xml:space="preserve">, respectively). </w:t>
      </w:r>
      <w:r w:rsidR="00391EDC">
        <w:rPr>
          <w:rFonts w:asciiTheme="minorHAnsi" w:hAnsiTheme="minorHAnsi"/>
          <w:szCs w:val="22"/>
        </w:rPr>
        <w:t>The rate for American Indians as a whole are more than triple that of the statewide rate</w:t>
      </w:r>
      <w:r>
        <w:rPr>
          <w:rFonts w:asciiTheme="minorHAnsi" w:hAnsiTheme="minorHAnsi"/>
          <w:szCs w:val="22"/>
        </w:rPr>
        <w:t xml:space="preserve">. With respect to age, rates of </w:t>
      </w:r>
      <w:r w:rsidR="00391EDC">
        <w:rPr>
          <w:rFonts w:asciiTheme="minorHAnsi" w:hAnsiTheme="minorHAnsi"/>
          <w:szCs w:val="22"/>
        </w:rPr>
        <w:t>alcoholic liver disease</w:t>
      </w:r>
      <w:r>
        <w:rPr>
          <w:rFonts w:asciiTheme="minorHAnsi" w:hAnsiTheme="minorHAnsi"/>
          <w:szCs w:val="22"/>
        </w:rPr>
        <w:t xml:space="preserve"> are highest among individuals 25-64 (</w:t>
      </w:r>
      <w:r w:rsidR="00391EDC">
        <w:rPr>
          <w:rFonts w:asciiTheme="minorHAnsi" w:hAnsiTheme="minorHAnsi"/>
          <w:szCs w:val="22"/>
        </w:rPr>
        <w:t>31.2</w:t>
      </w:r>
      <w:r>
        <w:rPr>
          <w:rFonts w:asciiTheme="minorHAnsi" w:hAnsiTheme="minorHAnsi"/>
          <w:szCs w:val="22"/>
        </w:rPr>
        <w:t>).</w:t>
      </w:r>
    </w:p>
    <w:p w14:paraId="2F7E1C69" w14:textId="73C11FAB" w:rsidR="00391EDC" w:rsidRDefault="00391EDC" w:rsidP="00391EDC">
      <w:pPr>
        <w:spacing w:line="256" w:lineRule="auto"/>
        <w:rPr>
          <w:rFonts w:asciiTheme="minorHAnsi" w:hAnsiTheme="minorHAnsi"/>
          <w:szCs w:val="22"/>
        </w:rPr>
      </w:pPr>
      <w:r>
        <w:rPr>
          <w:rFonts w:asciiTheme="minorHAnsi" w:hAnsiTheme="minorHAnsi"/>
          <w:szCs w:val="22"/>
        </w:rPr>
        <w:t xml:space="preserve">Map 2 (see last page) shows the breakdown of alcoholic liver disease </w:t>
      </w:r>
      <w:r w:rsidR="00095A79">
        <w:rPr>
          <w:rFonts w:asciiTheme="minorHAnsi" w:hAnsiTheme="minorHAnsi"/>
          <w:szCs w:val="22"/>
        </w:rPr>
        <w:t xml:space="preserve">death </w:t>
      </w:r>
      <w:r>
        <w:rPr>
          <w:rFonts w:asciiTheme="minorHAnsi" w:hAnsiTheme="minorHAnsi"/>
          <w:szCs w:val="22"/>
        </w:rPr>
        <w:t xml:space="preserve">rates by county in New Mexico. Alcoholic liver disease rates are highest in McKinley (61.0), Rio Arriba (58.8), and Cibola (43.8) counties. It should be noted that this is in contrast to rates of </w:t>
      </w:r>
      <w:r w:rsidR="00095A79">
        <w:rPr>
          <w:rFonts w:asciiTheme="minorHAnsi" w:hAnsiTheme="minorHAnsi"/>
          <w:szCs w:val="22"/>
        </w:rPr>
        <w:t>adult heavy drinking</w:t>
      </w:r>
      <w:r>
        <w:rPr>
          <w:rFonts w:asciiTheme="minorHAnsi" w:hAnsiTheme="minorHAnsi"/>
          <w:szCs w:val="22"/>
        </w:rPr>
        <w:t xml:space="preserve"> (not shown), which are highest in the southern counties of Hidalgo, Lincoln, and Socorro. </w:t>
      </w:r>
    </w:p>
    <w:p w14:paraId="69C349C3" w14:textId="77777777" w:rsidR="000A6BB0" w:rsidRDefault="000A6BB0" w:rsidP="000A6BB0">
      <w:pPr>
        <w:spacing w:after="160" w:line="256" w:lineRule="auto"/>
        <w:rPr>
          <w:rFonts w:asciiTheme="minorHAnsi" w:hAnsiTheme="minorHAnsi"/>
          <w:b/>
          <w:szCs w:val="22"/>
        </w:rPr>
      </w:pPr>
    </w:p>
    <w:p w14:paraId="004B5F82" w14:textId="099F40F7" w:rsidR="000A6BB0" w:rsidRPr="000A6BB0" w:rsidRDefault="000A6BB0" w:rsidP="000A6BB0">
      <w:pPr>
        <w:spacing w:after="160" w:line="256" w:lineRule="auto"/>
        <w:rPr>
          <w:rFonts w:asciiTheme="minorHAnsi" w:hAnsiTheme="minorHAnsi"/>
          <w:b/>
          <w:szCs w:val="22"/>
        </w:rPr>
      </w:pPr>
      <w:r>
        <w:rPr>
          <w:rFonts w:asciiTheme="minorHAnsi" w:hAnsiTheme="minorHAnsi"/>
          <w:b/>
          <w:szCs w:val="22"/>
        </w:rPr>
        <w:lastRenderedPageBreak/>
        <w:t>Table 1</w:t>
      </w:r>
      <w:bookmarkStart w:id="1" w:name="_GoBack"/>
      <w:bookmarkEnd w:id="1"/>
      <w:r>
        <w:rPr>
          <w:rFonts w:asciiTheme="minorHAnsi" w:hAnsiTheme="minorHAnsi"/>
          <w:b/>
          <w:szCs w:val="22"/>
        </w:rPr>
        <w:t>. Prevalence of alcoholic liver disease</w:t>
      </w:r>
      <w:r w:rsidR="003B4271">
        <w:rPr>
          <w:rFonts w:asciiTheme="minorHAnsi" w:hAnsiTheme="minorHAnsi"/>
          <w:b/>
          <w:szCs w:val="22"/>
        </w:rPr>
        <w:t xml:space="preserve"> death</w:t>
      </w:r>
      <w:r>
        <w:rPr>
          <w:rFonts w:asciiTheme="minorHAnsi" w:hAnsiTheme="minorHAnsi"/>
          <w:b/>
          <w:szCs w:val="22"/>
        </w:rPr>
        <w:t xml:space="preserve"> in New Mexico by age, race/ethnicity, and gender, 2012-2016</w:t>
      </w:r>
    </w:p>
    <w:p w14:paraId="24E64796" w14:textId="63682C98" w:rsidR="000A6BB0" w:rsidRDefault="00294283" w:rsidP="000A6BB0">
      <w:pPr>
        <w:spacing w:after="160" w:line="259" w:lineRule="auto"/>
        <w:jc w:val="center"/>
        <w:rPr>
          <w:rFonts w:asciiTheme="minorHAnsi" w:hAnsiTheme="minorHAnsi"/>
          <w:szCs w:val="22"/>
        </w:rPr>
      </w:pPr>
      <w:r>
        <w:rPr>
          <w:rFonts w:asciiTheme="minorHAnsi" w:hAnsiTheme="minorHAnsi"/>
          <w:noProof/>
          <w:szCs w:val="22"/>
        </w:rPr>
        <w:drawing>
          <wp:inline distT="0" distB="0" distL="0" distR="0" wp14:anchorId="2E83A0E1" wp14:editId="6103FF3C">
            <wp:extent cx="5943600" cy="3909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909060"/>
                    </a:xfrm>
                    <a:prstGeom prst="rect">
                      <a:avLst/>
                    </a:prstGeom>
                  </pic:spPr>
                </pic:pic>
              </a:graphicData>
            </a:graphic>
          </wp:inline>
        </w:drawing>
      </w:r>
    </w:p>
    <w:p w14:paraId="1EFF3F4E" w14:textId="1C47E671" w:rsidR="000A6BB0" w:rsidRDefault="000A6BB0" w:rsidP="000A6BB0">
      <w:pPr>
        <w:spacing w:line="256" w:lineRule="auto"/>
        <w:ind w:right="1260"/>
        <w:rPr>
          <w:rFonts w:asciiTheme="minorHAnsi" w:hAnsiTheme="minorHAnsi"/>
          <w:sz w:val="22"/>
          <w:szCs w:val="22"/>
        </w:rPr>
      </w:pPr>
      <w:r>
        <w:rPr>
          <w:rFonts w:asciiTheme="minorHAnsi" w:hAnsiTheme="minorHAnsi"/>
          <w:sz w:val="22"/>
          <w:szCs w:val="22"/>
        </w:rPr>
        <w:t xml:space="preserve">Source: New Mexico Department of Health, Epidemiology and Response Division. </w:t>
      </w:r>
      <w:r w:rsidRPr="000A6BB0">
        <w:rPr>
          <w:rFonts w:asciiTheme="minorHAnsi" w:hAnsiTheme="minorHAnsi"/>
          <w:sz w:val="22"/>
          <w:szCs w:val="22"/>
        </w:rPr>
        <w:t>All rates are per 100,000, age-adjusted to the 2000 US standard population</w:t>
      </w:r>
      <w:r>
        <w:rPr>
          <w:rFonts w:asciiTheme="minorHAnsi" w:hAnsiTheme="minorHAnsi"/>
          <w:sz w:val="22"/>
          <w:szCs w:val="22"/>
        </w:rPr>
        <w:t>.</w:t>
      </w:r>
    </w:p>
    <w:p w14:paraId="5BADDF56" w14:textId="77777777" w:rsidR="000A6BB0" w:rsidRDefault="000A6BB0" w:rsidP="000A6BB0">
      <w:pPr>
        <w:spacing w:after="160" w:line="259" w:lineRule="auto"/>
        <w:rPr>
          <w:rFonts w:asciiTheme="minorHAnsi" w:hAnsiTheme="minorHAnsi"/>
          <w:b/>
          <w:szCs w:val="22"/>
        </w:rPr>
      </w:pPr>
    </w:p>
    <w:p w14:paraId="509D8724" w14:textId="412C4DB5" w:rsidR="000A6BB0" w:rsidRPr="00190E9E" w:rsidRDefault="000A6BB0" w:rsidP="000A6BB0">
      <w:pPr>
        <w:spacing w:after="160" w:line="259" w:lineRule="auto"/>
        <w:rPr>
          <w:rFonts w:asciiTheme="minorHAnsi" w:hAnsiTheme="minorHAnsi"/>
          <w:b/>
          <w:szCs w:val="22"/>
        </w:rPr>
      </w:pPr>
      <w:r w:rsidRPr="00190E9E">
        <w:rPr>
          <w:rFonts w:asciiTheme="minorHAnsi" w:hAnsiTheme="minorHAnsi"/>
          <w:b/>
          <w:szCs w:val="22"/>
        </w:rPr>
        <w:t>Conclusion</w:t>
      </w:r>
    </w:p>
    <w:p w14:paraId="46565468" w14:textId="77777777" w:rsidR="000A6BB0" w:rsidRPr="007722FD" w:rsidRDefault="000A6BB0" w:rsidP="000A6BB0">
      <w:pPr>
        <w:spacing w:after="160" w:line="259" w:lineRule="auto"/>
        <w:rPr>
          <w:rFonts w:asciiTheme="minorHAnsi" w:hAnsiTheme="minorHAnsi"/>
          <w:szCs w:val="22"/>
        </w:rPr>
      </w:pPr>
      <w:r>
        <w:rPr>
          <w:rFonts w:asciiTheme="minorHAnsi" w:hAnsiTheme="minorHAnsi"/>
          <w:szCs w:val="22"/>
        </w:rPr>
        <w:t>With the recent increase in</w:t>
      </w:r>
      <w:r w:rsidRPr="00190E9E">
        <w:rPr>
          <w:rFonts w:asciiTheme="minorHAnsi" w:hAnsiTheme="minorHAnsi"/>
          <w:szCs w:val="22"/>
        </w:rPr>
        <w:t xml:space="preserve"> </w:t>
      </w:r>
      <w:r>
        <w:rPr>
          <w:rFonts w:asciiTheme="minorHAnsi" w:hAnsiTheme="minorHAnsi"/>
          <w:szCs w:val="22"/>
        </w:rPr>
        <w:t>alcoholic liver disease-related deaths i</w:t>
      </w:r>
      <w:r w:rsidRPr="00190E9E">
        <w:rPr>
          <w:rFonts w:asciiTheme="minorHAnsi" w:hAnsiTheme="minorHAnsi"/>
          <w:szCs w:val="22"/>
        </w:rPr>
        <w:t>n New Mexico</w:t>
      </w:r>
      <w:r>
        <w:rPr>
          <w:rFonts w:asciiTheme="minorHAnsi" w:hAnsiTheme="minorHAnsi"/>
          <w:szCs w:val="22"/>
        </w:rPr>
        <w:t xml:space="preserve"> happening</w:t>
      </w:r>
      <w:r w:rsidRPr="00190E9E">
        <w:rPr>
          <w:rFonts w:asciiTheme="minorHAnsi" w:hAnsiTheme="minorHAnsi"/>
          <w:szCs w:val="22"/>
        </w:rPr>
        <w:t xml:space="preserve"> concurrent</w:t>
      </w:r>
      <w:r>
        <w:rPr>
          <w:rFonts w:asciiTheme="minorHAnsi" w:hAnsiTheme="minorHAnsi"/>
          <w:szCs w:val="22"/>
        </w:rPr>
        <w:t>ly</w:t>
      </w:r>
      <w:r w:rsidRPr="00190E9E">
        <w:rPr>
          <w:rFonts w:asciiTheme="minorHAnsi" w:hAnsiTheme="minorHAnsi"/>
          <w:szCs w:val="22"/>
        </w:rPr>
        <w:t xml:space="preserve"> with </w:t>
      </w:r>
      <w:r>
        <w:rPr>
          <w:rFonts w:asciiTheme="minorHAnsi" w:hAnsiTheme="minorHAnsi"/>
          <w:szCs w:val="22"/>
        </w:rPr>
        <w:t>larger</w:t>
      </w:r>
      <w:r w:rsidRPr="00190E9E">
        <w:rPr>
          <w:rFonts w:asciiTheme="minorHAnsi" w:hAnsiTheme="minorHAnsi"/>
          <w:szCs w:val="22"/>
        </w:rPr>
        <w:t>,</w:t>
      </w:r>
      <w:r>
        <w:rPr>
          <w:rFonts w:asciiTheme="minorHAnsi" w:hAnsiTheme="minorHAnsi"/>
          <w:szCs w:val="22"/>
        </w:rPr>
        <w:t xml:space="preserve"> long-term increase in alcohol-related liver cirrhosis</w:t>
      </w:r>
      <w:r w:rsidRPr="00190E9E">
        <w:rPr>
          <w:rFonts w:asciiTheme="minorHAnsi" w:hAnsiTheme="minorHAnsi"/>
          <w:szCs w:val="22"/>
        </w:rPr>
        <w:t xml:space="preserve"> </w:t>
      </w:r>
      <w:r>
        <w:rPr>
          <w:rFonts w:asciiTheme="minorHAnsi" w:hAnsiTheme="minorHAnsi"/>
          <w:szCs w:val="22"/>
        </w:rPr>
        <w:t xml:space="preserve">nationwide, </w:t>
      </w:r>
      <w:r w:rsidRPr="00190E9E">
        <w:rPr>
          <w:rFonts w:asciiTheme="minorHAnsi" w:hAnsiTheme="minorHAnsi"/>
          <w:szCs w:val="22"/>
        </w:rPr>
        <w:t xml:space="preserve">it is critical for public health efforts concerning </w:t>
      </w:r>
      <w:r>
        <w:rPr>
          <w:rFonts w:asciiTheme="minorHAnsi" w:hAnsiTheme="minorHAnsi"/>
          <w:szCs w:val="22"/>
        </w:rPr>
        <w:t>alcohol</w:t>
      </w:r>
      <w:r w:rsidRPr="00190E9E">
        <w:rPr>
          <w:rFonts w:asciiTheme="minorHAnsi" w:hAnsiTheme="minorHAnsi"/>
          <w:szCs w:val="22"/>
        </w:rPr>
        <w:t xml:space="preserve"> to be properly informed about </w:t>
      </w:r>
      <w:r>
        <w:rPr>
          <w:rFonts w:asciiTheme="minorHAnsi" w:hAnsiTheme="minorHAnsi"/>
          <w:szCs w:val="22"/>
        </w:rPr>
        <w:t>what it is, how it develops, and what the risk factors are for developing this disease.</w:t>
      </w:r>
      <w:r w:rsidRPr="00190E9E">
        <w:rPr>
          <w:rFonts w:asciiTheme="minorHAnsi" w:hAnsiTheme="minorHAnsi"/>
          <w:szCs w:val="22"/>
        </w:rPr>
        <w:t xml:space="preserve"> Such efforts may need to include broader public education campaigns about the risks of </w:t>
      </w:r>
      <w:r>
        <w:rPr>
          <w:rFonts w:asciiTheme="minorHAnsi" w:hAnsiTheme="minorHAnsi"/>
          <w:szCs w:val="22"/>
        </w:rPr>
        <w:t>excessive alcohol consumption, the</w:t>
      </w:r>
      <w:r w:rsidRPr="00190E9E">
        <w:rPr>
          <w:rFonts w:asciiTheme="minorHAnsi" w:hAnsiTheme="minorHAnsi"/>
          <w:szCs w:val="22"/>
        </w:rPr>
        <w:t xml:space="preserve"> </w:t>
      </w:r>
      <w:r>
        <w:rPr>
          <w:rFonts w:asciiTheme="minorHAnsi" w:hAnsiTheme="minorHAnsi"/>
          <w:szCs w:val="22"/>
        </w:rPr>
        <w:t>rates</w:t>
      </w:r>
      <w:r w:rsidRPr="00190E9E">
        <w:rPr>
          <w:rFonts w:asciiTheme="minorHAnsi" w:hAnsiTheme="minorHAnsi"/>
          <w:szCs w:val="22"/>
        </w:rPr>
        <w:t xml:space="preserve"> of </w:t>
      </w:r>
      <w:r>
        <w:rPr>
          <w:rFonts w:asciiTheme="minorHAnsi" w:hAnsiTheme="minorHAnsi"/>
          <w:szCs w:val="22"/>
        </w:rPr>
        <w:t>death from alcoholic liver disease</w:t>
      </w:r>
      <w:r w:rsidRPr="00190E9E">
        <w:rPr>
          <w:rFonts w:asciiTheme="minorHAnsi" w:hAnsiTheme="minorHAnsi"/>
          <w:szCs w:val="22"/>
        </w:rPr>
        <w:t xml:space="preserve">, and </w:t>
      </w:r>
      <w:r>
        <w:rPr>
          <w:rFonts w:asciiTheme="minorHAnsi" w:hAnsiTheme="minorHAnsi"/>
          <w:szCs w:val="22"/>
        </w:rPr>
        <w:t>treatment options for individuals with an alcohol use disorder</w:t>
      </w:r>
      <w:r w:rsidRPr="00190E9E">
        <w:rPr>
          <w:rFonts w:asciiTheme="minorHAnsi" w:hAnsiTheme="minorHAnsi"/>
          <w:szCs w:val="22"/>
        </w:rPr>
        <w:t>.</w:t>
      </w:r>
    </w:p>
    <w:p w14:paraId="2489AC23" w14:textId="77777777" w:rsidR="000A6BB0" w:rsidRDefault="000A6BB0" w:rsidP="00A02065">
      <w:pPr>
        <w:spacing w:after="160" w:line="259" w:lineRule="auto"/>
        <w:rPr>
          <w:rFonts w:asciiTheme="minorHAnsi" w:hAnsiTheme="minorHAnsi"/>
          <w:szCs w:val="22"/>
        </w:rPr>
      </w:pPr>
    </w:p>
    <w:p w14:paraId="72EC69E6" w14:textId="799F6685" w:rsidR="000A6BB0" w:rsidRDefault="000A6BB0" w:rsidP="00A02065">
      <w:pPr>
        <w:spacing w:after="160" w:line="259" w:lineRule="auto"/>
        <w:rPr>
          <w:rFonts w:asciiTheme="minorHAnsi" w:hAnsiTheme="minorHAnsi"/>
          <w:szCs w:val="22"/>
        </w:rPr>
      </w:pPr>
    </w:p>
    <w:p w14:paraId="732CF6E5" w14:textId="1F08B5B1" w:rsidR="00391EDC" w:rsidRDefault="00391EDC" w:rsidP="00A02065">
      <w:pPr>
        <w:spacing w:after="160" w:line="259" w:lineRule="auto"/>
        <w:rPr>
          <w:rFonts w:asciiTheme="minorHAnsi" w:hAnsiTheme="minorHAnsi"/>
          <w:szCs w:val="22"/>
        </w:rPr>
      </w:pPr>
    </w:p>
    <w:p w14:paraId="230E26B0" w14:textId="70EEF9D6" w:rsidR="00391EDC" w:rsidRDefault="00391EDC" w:rsidP="00A02065">
      <w:pPr>
        <w:spacing w:after="160" w:line="259" w:lineRule="auto"/>
        <w:rPr>
          <w:rFonts w:asciiTheme="minorHAnsi" w:hAnsiTheme="minorHAnsi"/>
          <w:szCs w:val="22"/>
        </w:rPr>
      </w:pPr>
    </w:p>
    <w:p w14:paraId="70372AD6" w14:textId="423A257D" w:rsidR="000A6BB0" w:rsidRDefault="000A6BB0" w:rsidP="000A6BB0">
      <w:pPr>
        <w:spacing w:after="160" w:line="256" w:lineRule="auto"/>
        <w:rPr>
          <w:rFonts w:asciiTheme="minorHAnsi" w:hAnsiTheme="minorHAnsi"/>
          <w:b/>
          <w:szCs w:val="22"/>
        </w:rPr>
      </w:pPr>
      <w:r>
        <w:rPr>
          <w:rFonts w:asciiTheme="minorHAnsi" w:hAnsiTheme="minorHAnsi"/>
          <w:b/>
          <w:szCs w:val="22"/>
        </w:rPr>
        <w:lastRenderedPageBreak/>
        <w:t xml:space="preserve">Map </w:t>
      </w:r>
      <w:r w:rsidR="00294283">
        <w:rPr>
          <w:rFonts w:asciiTheme="minorHAnsi" w:hAnsiTheme="minorHAnsi"/>
          <w:b/>
          <w:szCs w:val="22"/>
        </w:rPr>
        <w:t>1</w:t>
      </w:r>
      <w:r>
        <w:rPr>
          <w:rFonts w:asciiTheme="minorHAnsi" w:hAnsiTheme="minorHAnsi"/>
          <w:b/>
          <w:szCs w:val="22"/>
        </w:rPr>
        <w:t xml:space="preserve">. </w:t>
      </w:r>
      <w:r w:rsidR="00294283">
        <w:rPr>
          <w:rFonts w:asciiTheme="minorHAnsi" w:hAnsiTheme="minorHAnsi"/>
          <w:b/>
          <w:szCs w:val="22"/>
        </w:rPr>
        <w:t xml:space="preserve">Prevalence of alcoholic liver disease </w:t>
      </w:r>
      <w:r w:rsidR="00AC5FAF">
        <w:rPr>
          <w:rFonts w:asciiTheme="minorHAnsi" w:hAnsiTheme="minorHAnsi"/>
          <w:b/>
          <w:szCs w:val="22"/>
        </w:rPr>
        <w:t xml:space="preserve">death </w:t>
      </w:r>
      <w:r w:rsidR="00294283">
        <w:rPr>
          <w:rFonts w:asciiTheme="minorHAnsi" w:hAnsiTheme="minorHAnsi"/>
          <w:b/>
          <w:szCs w:val="22"/>
        </w:rPr>
        <w:t>in New Mexico by county, 2012-2016</w:t>
      </w:r>
    </w:p>
    <w:p w14:paraId="082B9799" w14:textId="331E3E88" w:rsidR="00E971BD" w:rsidRDefault="00391EDC" w:rsidP="000A6BB0">
      <w:pPr>
        <w:spacing w:after="160" w:line="259" w:lineRule="auto"/>
        <w:jc w:val="center"/>
        <w:rPr>
          <w:rFonts w:asciiTheme="minorHAnsi" w:hAnsiTheme="minorHAnsi"/>
          <w:szCs w:val="22"/>
        </w:rPr>
      </w:pPr>
      <w:r>
        <w:rPr>
          <w:rFonts w:asciiTheme="minorHAnsi" w:hAnsiTheme="minorHAnsi"/>
          <w:noProof/>
          <w:szCs w:val="22"/>
        </w:rPr>
        <w:drawing>
          <wp:inline distT="0" distB="0" distL="0" distR="0" wp14:anchorId="2A51AFA4" wp14:editId="69288AD1">
            <wp:extent cx="5386750" cy="7040880"/>
            <wp:effectExtent l="0" t="0" r="444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2.JPG"/>
                    <pic:cNvPicPr/>
                  </pic:nvPicPr>
                  <pic:blipFill>
                    <a:blip r:embed="rId13">
                      <a:extLst>
                        <a:ext uri="{28A0092B-C50C-407E-A947-70E740481C1C}">
                          <a14:useLocalDpi xmlns:a14="http://schemas.microsoft.com/office/drawing/2010/main" val="0"/>
                        </a:ext>
                      </a:extLst>
                    </a:blip>
                    <a:stretch>
                      <a:fillRect/>
                    </a:stretch>
                  </pic:blipFill>
                  <pic:spPr>
                    <a:xfrm>
                      <a:off x="0" y="0"/>
                      <a:ext cx="5396249" cy="7053296"/>
                    </a:xfrm>
                    <a:prstGeom prst="rect">
                      <a:avLst/>
                    </a:prstGeom>
                  </pic:spPr>
                </pic:pic>
              </a:graphicData>
            </a:graphic>
          </wp:inline>
        </w:drawing>
      </w:r>
    </w:p>
    <w:p w14:paraId="5CB3C488" w14:textId="77777777" w:rsidR="00391EDC" w:rsidRDefault="00391EDC" w:rsidP="00391EDC">
      <w:pPr>
        <w:spacing w:line="256" w:lineRule="auto"/>
        <w:ind w:right="1260"/>
        <w:rPr>
          <w:rFonts w:asciiTheme="minorHAnsi" w:hAnsiTheme="minorHAnsi"/>
          <w:sz w:val="22"/>
          <w:szCs w:val="22"/>
        </w:rPr>
      </w:pPr>
      <w:r>
        <w:rPr>
          <w:rFonts w:asciiTheme="minorHAnsi" w:hAnsiTheme="minorHAnsi"/>
          <w:sz w:val="22"/>
          <w:szCs w:val="22"/>
        </w:rPr>
        <w:t xml:space="preserve">Source: New Mexico Department of Health, Epidemiology and Response Division. </w:t>
      </w:r>
      <w:r w:rsidRPr="000A6BB0">
        <w:rPr>
          <w:rFonts w:asciiTheme="minorHAnsi" w:hAnsiTheme="minorHAnsi"/>
          <w:sz w:val="22"/>
          <w:szCs w:val="22"/>
        </w:rPr>
        <w:t>All rates are per 100,000, age-adjusted to the 2000 US standard population</w:t>
      </w:r>
      <w:r>
        <w:rPr>
          <w:rFonts w:asciiTheme="minorHAnsi" w:hAnsiTheme="minorHAnsi"/>
          <w:sz w:val="22"/>
          <w:szCs w:val="22"/>
        </w:rPr>
        <w:t>.</w:t>
      </w:r>
    </w:p>
    <w:p w14:paraId="5A9D3980" w14:textId="77777777" w:rsidR="00391EDC" w:rsidRPr="00190E9E" w:rsidRDefault="00391EDC" w:rsidP="000A6BB0">
      <w:pPr>
        <w:spacing w:after="160" w:line="259" w:lineRule="auto"/>
        <w:jc w:val="center"/>
        <w:rPr>
          <w:rFonts w:asciiTheme="minorHAnsi" w:hAnsiTheme="minorHAnsi"/>
          <w:szCs w:val="22"/>
        </w:rPr>
      </w:pPr>
    </w:p>
    <w:sectPr w:rsidR="00391EDC" w:rsidRPr="00190E9E" w:rsidSect="0093570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4A7C7" w14:textId="77777777" w:rsidR="007F2190" w:rsidRDefault="007F2190" w:rsidP="006C7AF2">
      <w:r>
        <w:separator/>
      </w:r>
    </w:p>
  </w:endnote>
  <w:endnote w:type="continuationSeparator" w:id="0">
    <w:p w14:paraId="34E7356F" w14:textId="77777777" w:rsidR="007F2190" w:rsidRDefault="007F2190" w:rsidP="006C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4777C" w14:textId="183591C8" w:rsidR="00935702" w:rsidRDefault="00935702">
    <w:pPr>
      <w:pStyle w:val="Footer"/>
      <w:jc w:val="right"/>
    </w:pPr>
  </w:p>
  <w:p w14:paraId="58AA6221" w14:textId="77777777" w:rsidR="00935702" w:rsidRDefault="00935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452887"/>
      <w:docPartObj>
        <w:docPartGallery w:val="Page Numbers (Bottom of Page)"/>
        <w:docPartUnique/>
      </w:docPartObj>
    </w:sdtPr>
    <w:sdtEndPr>
      <w:rPr>
        <w:noProof/>
      </w:rPr>
    </w:sdtEndPr>
    <w:sdtContent>
      <w:p w14:paraId="0837C467" w14:textId="099EBA1C" w:rsidR="00935702" w:rsidRDefault="00935702" w:rsidP="00370D4B">
        <w:pPr>
          <w:pStyle w:val="Footer"/>
          <w:jc w:val="center"/>
        </w:pPr>
        <w:r>
          <w:fldChar w:fldCharType="begin"/>
        </w:r>
        <w:r>
          <w:instrText xml:space="preserve"> PAGE   \* MERGEFORMAT </w:instrText>
        </w:r>
        <w:r>
          <w:fldChar w:fldCharType="separate"/>
        </w:r>
        <w:r w:rsidR="00370D4B">
          <w:rPr>
            <w:noProof/>
          </w:rPr>
          <w:t>4</w:t>
        </w:r>
        <w:r>
          <w:rPr>
            <w:noProof/>
          </w:rPr>
          <w:fldChar w:fldCharType="end"/>
        </w:r>
      </w:p>
    </w:sdtContent>
  </w:sdt>
  <w:p w14:paraId="5E7668E0" w14:textId="77777777" w:rsidR="00935702" w:rsidRDefault="00935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1159" w14:textId="77777777" w:rsidR="007F2190" w:rsidRDefault="007F2190" w:rsidP="006C7AF2">
      <w:r>
        <w:separator/>
      </w:r>
    </w:p>
  </w:footnote>
  <w:footnote w:type="continuationSeparator" w:id="0">
    <w:p w14:paraId="59C2B647" w14:textId="77777777" w:rsidR="007F2190" w:rsidRDefault="007F2190" w:rsidP="006C7AF2">
      <w:r>
        <w:continuationSeparator/>
      </w:r>
    </w:p>
  </w:footnote>
  <w:footnote w:id="1">
    <w:p w14:paraId="2FE322B2" w14:textId="33821C50" w:rsidR="006C7AF2" w:rsidRDefault="006C7AF2">
      <w:pPr>
        <w:pStyle w:val="FootnoteText"/>
      </w:pPr>
      <w:r>
        <w:rPr>
          <w:rStyle w:val="FootnoteReference"/>
        </w:rPr>
        <w:footnoteRef/>
      </w:r>
      <w:r>
        <w:t xml:space="preserve"> </w:t>
      </w:r>
      <w:r w:rsidR="00F76C0A" w:rsidRPr="00F76C0A">
        <w:t xml:space="preserve">World Health Organization. </w:t>
      </w:r>
      <w:r w:rsidR="00F76C0A" w:rsidRPr="00F76C0A">
        <w:rPr>
          <w:i/>
        </w:rPr>
        <w:t xml:space="preserve">Global </w:t>
      </w:r>
      <w:r w:rsidR="00095A79">
        <w:rPr>
          <w:i/>
        </w:rPr>
        <w:t>S</w:t>
      </w:r>
      <w:r w:rsidR="00F76C0A" w:rsidRPr="00F76C0A">
        <w:rPr>
          <w:i/>
        </w:rPr>
        <w:t xml:space="preserve">tatus </w:t>
      </w:r>
      <w:r w:rsidR="00095A79">
        <w:rPr>
          <w:i/>
        </w:rPr>
        <w:t>R</w:t>
      </w:r>
      <w:r w:rsidR="00F76C0A" w:rsidRPr="00F76C0A">
        <w:rPr>
          <w:i/>
        </w:rPr>
        <w:t xml:space="preserve">eport on </w:t>
      </w:r>
      <w:r w:rsidR="00095A79">
        <w:rPr>
          <w:i/>
        </w:rPr>
        <w:t>A</w:t>
      </w:r>
      <w:r w:rsidR="00F76C0A" w:rsidRPr="00F76C0A">
        <w:rPr>
          <w:i/>
        </w:rPr>
        <w:t xml:space="preserve">lcohol and </w:t>
      </w:r>
      <w:r w:rsidR="00095A79">
        <w:rPr>
          <w:i/>
        </w:rPr>
        <w:t>H</w:t>
      </w:r>
      <w:r w:rsidR="00F76C0A" w:rsidRPr="00F76C0A">
        <w:rPr>
          <w:i/>
        </w:rPr>
        <w:t>ealth</w:t>
      </w:r>
      <w:r w:rsidR="00F76C0A" w:rsidRPr="00F76C0A">
        <w:t>, 2014.</w:t>
      </w:r>
    </w:p>
  </w:footnote>
  <w:footnote w:id="2">
    <w:p w14:paraId="37B6C77A" w14:textId="714068FF" w:rsidR="006C7AF2" w:rsidRDefault="006C7AF2" w:rsidP="00F76C0A">
      <w:pPr>
        <w:pStyle w:val="FootnoteText"/>
      </w:pPr>
      <w:r>
        <w:rPr>
          <w:rStyle w:val="FootnoteReference"/>
        </w:rPr>
        <w:footnoteRef/>
      </w:r>
      <w:r>
        <w:t xml:space="preserve"> </w:t>
      </w:r>
      <w:r w:rsidR="00E21BD4">
        <w:t xml:space="preserve">Substance Abuse and Mental Health Services Administration, </w:t>
      </w:r>
      <w:r w:rsidR="00E21BD4" w:rsidRPr="00E21BD4">
        <w:rPr>
          <w:i/>
        </w:rPr>
        <w:t>2015-2016 National Survey of Drug Use and Health</w:t>
      </w:r>
      <w:r w:rsidR="00E21BD4">
        <w:t>.</w:t>
      </w:r>
    </w:p>
  </w:footnote>
  <w:footnote w:id="3">
    <w:p w14:paraId="7A0F71BA" w14:textId="77777777" w:rsidR="00D543E8" w:rsidRDefault="00D543E8">
      <w:pPr>
        <w:pStyle w:val="FootnoteText"/>
      </w:pPr>
      <w:r>
        <w:rPr>
          <w:rStyle w:val="FootnoteReference"/>
        </w:rPr>
        <w:footnoteRef/>
      </w:r>
      <w:r>
        <w:t xml:space="preserve"> </w:t>
      </w:r>
      <w:r w:rsidR="00F76C0A">
        <w:t xml:space="preserve">American College of Gastroenterology, </w:t>
      </w:r>
      <w:r w:rsidR="00F76C0A" w:rsidRPr="00F76C0A">
        <w:rPr>
          <w:i/>
        </w:rPr>
        <w:t>Alcoholic Liver Disease: A Consumer Health Guide</w:t>
      </w:r>
      <w:r w:rsidR="00F76C0A">
        <w:t>, 2010.</w:t>
      </w:r>
    </w:p>
  </w:footnote>
  <w:footnote w:id="4">
    <w:p w14:paraId="3D8AE7AE" w14:textId="5C4F9273" w:rsidR="00F82807" w:rsidRDefault="00F82807">
      <w:pPr>
        <w:pStyle w:val="FootnoteText"/>
      </w:pPr>
      <w:r>
        <w:rPr>
          <w:rStyle w:val="FootnoteReference"/>
        </w:rPr>
        <w:footnoteRef/>
      </w:r>
      <w:r>
        <w:t xml:space="preserve"> </w:t>
      </w:r>
      <w:r w:rsidR="00F76C0A">
        <w:t xml:space="preserve">Mayo Clinic, </w:t>
      </w:r>
      <w:r w:rsidR="00F76C0A" w:rsidRPr="00F76C0A">
        <w:rPr>
          <w:i/>
        </w:rPr>
        <w:t xml:space="preserve">Pathogenesis, </w:t>
      </w:r>
      <w:r w:rsidR="00095A79">
        <w:rPr>
          <w:i/>
        </w:rPr>
        <w:t>D</w:t>
      </w:r>
      <w:r w:rsidR="00F76C0A" w:rsidRPr="00F76C0A">
        <w:rPr>
          <w:i/>
        </w:rPr>
        <w:t xml:space="preserve">iagnosis, and </w:t>
      </w:r>
      <w:r w:rsidR="00095A79">
        <w:rPr>
          <w:i/>
        </w:rPr>
        <w:t>T</w:t>
      </w:r>
      <w:r w:rsidR="00F76C0A" w:rsidRPr="00F76C0A">
        <w:rPr>
          <w:i/>
        </w:rPr>
        <w:t xml:space="preserve">reatment of </w:t>
      </w:r>
      <w:r w:rsidR="00095A79">
        <w:rPr>
          <w:i/>
        </w:rPr>
        <w:t>A</w:t>
      </w:r>
      <w:r w:rsidR="00F76C0A" w:rsidRPr="00F76C0A">
        <w:rPr>
          <w:i/>
        </w:rPr>
        <w:t>lcoholic</w:t>
      </w:r>
      <w:r w:rsidR="00F76C0A">
        <w:t xml:space="preserve"> </w:t>
      </w:r>
      <w:r w:rsidR="00095A79">
        <w:rPr>
          <w:i/>
        </w:rPr>
        <w:t>Li</w:t>
      </w:r>
      <w:r w:rsidR="00F76C0A" w:rsidRPr="00F76C0A">
        <w:rPr>
          <w:i/>
        </w:rPr>
        <w:t xml:space="preserve">ver </w:t>
      </w:r>
      <w:r w:rsidR="00095A79">
        <w:rPr>
          <w:i/>
        </w:rPr>
        <w:t>D</w:t>
      </w:r>
      <w:r w:rsidR="00F76C0A" w:rsidRPr="00F76C0A">
        <w:rPr>
          <w:i/>
        </w:rPr>
        <w:t>isease</w:t>
      </w:r>
      <w:r w:rsidR="00F76C0A">
        <w:t>, 2001.</w:t>
      </w:r>
    </w:p>
  </w:footnote>
  <w:footnote w:id="5">
    <w:p w14:paraId="14E6C279" w14:textId="23A23301" w:rsidR="008D1980" w:rsidRDefault="008D1980">
      <w:pPr>
        <w:pStyle w:val="FootnoteText"/>
      </w:pPr>
      <w:r>
        <w:rPr>
          <w:rStyle w:val="FootnoteReference"/>
        </w:rPr>
        <w:footnoteRef/>
      </w:r>
      <w:r>
        <w:t xml:space="preserve"> </w:t>
      </w:r>
      <w:r w:rsidR="00095A79">
        <w:t xml:space="preserve">Mayo Clinic, </w:t>
      </w:r>
      <w:r w:rsidR="00095A79" w:rsidRPr="00F76C0A">
        <w:rPr>
          <w:i/>
        </w:rPr>
        <w:t xml:space="preserve">Pathogenesis, </w:t>
      </w:r>
      <w:r w:rsidR="00095A79">
        <w:rPr>
          <w:i/>
        </w:rPr>
        <w:t>D</w:t>
      </w:r>
      <w:r w:rsidR="00095A79" w:rsidRPr="00F76C0A">
        <w:rPr>
          <w:i/>
        </w:rPr>
        <w:t xml:space="preserve">iagnosis, and </w:t>
      </w:r>
      <w:r w:rsidR="00095A79">
        <w:rPr>
          <w:i/>
        </w:rPr>
        <w:t>T</w:t>
      </w:r>
      <w:r w:rsidR="00095A79" w:rsidRPr="00F76C0A">
        <w:rPr>
          <w:i/>
        </w:rPr>
        <w:t xml:space="preserve">reatment of </w:t>
      </w:r>
      <w:r w:rsidR="00095A79">
        <w:rPr>
          <w:i/>
        </w:rPr>
        <w:t>A</w:t>
      </w:r>
      <w:r w:rsidR="00095A79" w:rsidRPr="00F76C0A">
        <w:rPr>
          <w:i/>
        </w:rPr>
        <w:t>lcoholic</w:t>
      </w:r>
      <w:r w:rsidR="00095A79">
        <w:t xml:space="preserve"> </w:t>
      </w:r>
      <w:r w:rsidR="00095A79">
        <w:rPr>
          <w:i/>
        </w:rPr>
        <w:t>Li</w:t>
      </w:r>
      <w:r w:rsidR="00095A79" w:rsidRPr="00F76C0A">
        <w:rPr>
          <w:i/>
        </w:rPr>
        <w:t xml:space="preserve">ver </w:t>
      </w:r>
      <w:r w:rsidR="00095A79">
        <w:rPr>
          <w:i/>
        </w:rPr>
        <w:t>D</w:t>
      </w:r>
      <w:r w:rsidR="00095A79" w:rsidRPr="00F76C0A">
        <w:rPr>
          <w:i/>
        </w:rPr>
        <w:t>isease</w:t>
      </w:r>
      <w:r w:rsidR="00095A79">
        <w:t>, 2001.</w:t>
      </w:r>
    </w:p>
  </w:footnote>
  <w:footnote w:id="6">
    <w:p w14:paraId="73BF61A3" w14:textId="77777777" w:rsidR="008D1980" w:rsidRDefault="008D1980">
      <w:pPr>
        <w:pStyle w:val="FootnoteText"/>
      </w:pPr>
      <w:r>
        <w:rPr>
          <w:rStyle w:val="FootnoteReference"/>
        </w:rPr>
        <w:footnoteRef/>
      </w:r>
      <w:r>
        <w:t xml:space="preserve"> </w:t>
      </w:r>
      <w:r w:rsidR="00F76C0A" w:rsidRPr="00F76C0A">
        <w:t xml:space="preserve">Yoon, Y. H., C. M. Chen, and H. Y. Yi. "Liver cirrhosis mortality in the United States: National, State, and Regional Trends, 2000-2011." </w:t>
      </w:r>
      <w:r w:rsidR="00E971BD" w:rsidRPr="00E971BD">
        <w:rPr>
          <w:i/>
        </w:rPr>
        <w:t xml:space="preserve">NIAAA </w:t>
      </w:r>
      <w:r w:rsidR="00F76C0A" w:rsidRPr="00E971BD">
        <w:rPr>
          <w:i/>
        </w:rPr>
        <w:t xml:space="preserve">Surveillance Report </w:t>
      </w:r>
      <w:r w:rsidR="00E971BD" w:rsidRPr="00E971BD">
        <w:rPr>
          <w:i/>
        </w:rPr>
        <w:t>#105</w:t>
      </w:r>
      <w:r w:rsidR="00E971BD">
        <w:t>, 2016</w:t>
      </w:r>
      <w:r w:rsidR="00F76C0A" w:rsidRPr="00F76C0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321"/>
    <w:multiLevelType w:val="hybridMultilevel"/>
    <w:tmpl w:val="4CF2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419B8"/>
    <w:multiLevelType w:val="hybridMultilevel"/>
    <w:tmpl w:val="9AF2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8578F"/>
    <w:multiLevelType w:val="hybridMultilevel"/>
    <w:tmpl w:val="7932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65"/>
    <w:rsid w:val="00050271"/>
    <w:rsid w:val="000568AB"/>
    <w:rsid w:val="00095A79"/>
    <w:rsid w:val="000A6BB0"/>
    <w:rsid w:val="000C295C"/>
    <w:rsid w:val="001230AC"/>
    <w:rsid w:val="00153309"/>
    <w:rsid w:val="00156DC7"/>
    <w:rsid w:val="00184B17"/>
    <w:rsid w:val="00190E9E"/>
    <w:rsid w:val="00214813"/>
    <w:rsid w:val="00294283"/>
    <w:rsid w:val="002C473C"/>
    <w:rsid w:val="00314413"/>
    <w:rsid w:val="00321304"/>
    <w:rsid w:val="00370D4B"/>
    <w:rsid w:val="003818A4"/>
    <w:rsid w:val="00391EDC"/>
    <w:rsid w:val="003B4271"/>
    <w:rsid w:val="004020CF"/>
    <w:rsid w:val="004220E3"/>
    <w:rsid w:val="00456071"/>
    <w:rsid w:val="00476141"/>
    <w:rsid w:val="004813F0"/>
    <w:rsid w:val="004A03C8"/>
    <w:rsid w:val="005403A5"/>
    <w:rsid w:val="005F376D"/>
    <w:rsid w:val="006073B4"/>
    <w:rsid w:val="00607FB6"/>
    <w:rsid w:val="00630353"/>
    <w:rsid w:val="006C6CA6"/>
    <w:rsid w:val="006C7AF2"/>
    <w:rsid w:val="0071099C"/>
    <w:rsid w:val="00716053"/>
    <w:rsid w:val="0075402E"/>
    <w:rsid w:val="007722FD"/>
    <w:rsid w:val="007B1E38"/>
    <w:rsid w:val="007F2190"/>
    <w:rsid w:val="008229A4"/>
    <w:rsid w:val="008D1980"/>
    <w:rsid w:val="00935702"/>
    <w:rsid w:val="00936F8E"/>
    <w:rsid w:val="009661ED"/>
    <w:rsid w:val="00980A10"/>
    <w:rsid w:val="009D0547"/>
    <w:rsid w:val="00A02065"/>
    <w:rsid w:val="00A625F2"/>
    <w:rsid w:val="00A66BDF"/>
    <w:rsid w:val="00A95CC0"/>
    <w:rsid w:val="00AC5FAF"/>
    <w:rsid w:val="00AE55C3"/>
    <w:rsid w:val="00B27AC4"/>
    <w:rsid w:val="00B36DFB"/>
    <w:rsid w:val="00B54758"/>
    <w:rsid w:val="00BC3FE3"/>
    <w:rsid w:val="00BD7B6B"/>
    <w:rsid w:val="00C4542D"/>
    <w:rsid w:val="00CC795C"/>
    <w:rsid w:val="00CE00D8"/>
    <w:rsid w:val="00D05A17"/>
    <w:rsid w:val="00D32C13"/>
    <w:rsid w:val="00D543E8"/>
    <w:rsid w:val="00DD24D8"/>
    <w:rsid w:val="00E21BD4"/>
    <w:rsid w:val="00E971BD"/>
    <w:rsid w:val="00EF6613"/>
    <w:rsid w:val="00F00198"/>
    <w:rsid w:val="00F27A6E"/>
    <w:rsid w:val="00F35F05"/>
    <w:rsid w:val="00F60EB3"/>
    <w:rsid w:val="00F76C0A"/>
    <w:rsid w:val="00F82807"/>
    <w:rsid w:val="00F90C8F"/>
    <w:rsid w:val="00F9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9CE"/>
  <w15:chartTrackingRefBased/>
  <w15:docId w15:val="{C036475F-BAB9-485D-B01E-BA5B13F4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06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065"/>
    <w:pPr>
      <w:ind w:left="720"/>
      <w:contextualSpacing/>
    </w:pPr>
  </w:style>
  <w:style w:type="table" w:styleId="TableGrid">
    <w:name w:val="Table Grid"/>
    <w:basedOn w:val="TableNormal"/>
    <w:uiPriority w:val="59"/>
    <w:rsid w:val="00A02065"/>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A4"/>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6C7AF2"/>
    <w:rPr>
      <w:sz w:val="20"/>
      <w:szCs w:val="20"/>
    </w:rPr>
  </w:style>
  <w:style w:type="character" w:customStyle="1" w:styleId="FootnoteTextChar">
    <w:name w:val="Footnote Text Char"/>
    <w:basedOn w:val="DefaultParagraphFont"/>
    <w:link w:val="FootnoteText"/>
    <w:uiPriority w:val="99"/>
    <w:semiHidden/>
    <w:rsid w:val="006C7AF2"/>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C7AF2"/>
    <w:rPr>
      <w:vertAlign w:val="superscript"/>
    </w:rPr>
  </w:style>
  <w:style w:type="table" w:customStyle="1" w:styleId="TableGrid1">
    <w:name w:val="Table Grid1"/>
    <w:basedOn w:val="TableNormal"/>
    <w:next w:val="TableGrid"/>
    <w:uiPriority w:val="39"/>
    <w:rsid w:val="0093570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702"/>
    <w:pPr>
      <w:tabs>
        <w:tab w:val="center" w:pos="4680"/>
        <w:tab w:val="right" w:pos="9360"/>
      </w:tabs>
    </w:pPr>
  </w:style>
  <w:style w:type="character" w:customStyle="1" w:styleId="HeaderChar">
    <w:name w:val="Header Char"/>
    <w:basedOn w:val="DefaultParagraphFont"/>
    <w:link w:val="Header"/>
    <w:uiPriority w:val="99"/>
    <w:rsid w:val="0093570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35702"/>
    <w:pPr>
      <w:tabs>
        <w:tab w:val="center" w:pos="4680"/>
        <w:tab w:val="right" w:pos="9360"/>
      </w:tabs>
    </w:pPr>
  </w:style>
  <w:style w:type="character" w:customStyle="1" w:styleId="FooterChar">
    <w:name w:val="Footer Char"/>
    <w:basedOn w:val="DefaultParagraphFont"/>
    <w:link w:val="Footer"/>
    <w:uiPriority w:val="99"/>
    <w:rsid w:val="00935702"/>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210634">
      <w:bodyDiv w:val="1"/>
      <w:marLeft w:val="0"/>
      <w:marRight w:val="0"/>
      <w:marTop w:val="0"/>
      <w:marBottom w:val="0"/>
      <w:divBdr>
        <w:top w:val="none" w:sz="0" w:space="0" w:color="auto"/>
        <w:left w:val="none" w:sz="0" w:space="0" w:color="auto"/>
        <w:bottom w:val="none" w:sz="0" w:space="0" w:color="auto"/>
        <w:right w:val="none" w:sz="0" w:space="0" w:color="auto"/>
      </w:divBdr>
    </w:div>
    <w:div w:id="976951982">
      <w:bodyDiv w:val="1"/>
      <w:marLeft w:val="0"/>
      <w:marRight w:val="0"/>
      <w:marTop w:val="0"/>
      <w:marBottom w:val="0"/>
      <w:divBdr>
        <w:top w:val="none" w:sz="0" w:space="0" w:color="auto"/>
        <w:left w:val="none" w:sz="0" w:space="0" w:color="auto"/>
        <w:bottom w:val="none" w:sz="0" w:space="0" w:color="auto"/>
        <w:right w:val="none" w:sz="0" w:space="0" w:color="auto"/>
      </w:divBdr>
    </w:div>
    <w:div w:id="1508128381">
      <w:bodyDiv w:val="1"/>
      <w:marLeft w:val="0"/>
      <w:marRight w:val="0"/>
      <w:marTop w:val="0"/>
      <w:marBottom w:val="0"/>
      <w:divBdr>
        <w:top w:val="none" w:sz="0" w:space="0" w:color="auto"/>
        <w:left w:val="none" w:sz="0" w:space="0" w:color="auto"/>
        <w:bottom w:val="none" w:sz="0" w:space="0" w:color="auto"/>
        <w:right w:val="none" w:sz="0" w:space="0" w:color="auto"/>
      </w:divBdr>
    </w:div>
    <w:div w:id="1550921728">
      <w:bodyDiv w:val="1"/>
      <w:marLeft w:val="0"/>
      <w:marRight w:val="0"/>
      <w:marTop w:val="0"/>
      <w:marBottom w:val="0"/>
      <w:divBdr>
        <w:top w:val="none" w:sz="0" w:space="0" w:color="auto"/>
        <w:left w:val="none" w:sz="0" w:space="0" w:color="auto"/>
        <w:bottom w:val="none" w:sz="0" w:space="0" w:color="auto"/>
        <w:right w:val="none" w:sz="0" w:space="0" w:color="auto"/>
      </w:divBdr>
    </w:div>
    <w:div w:id="1857646704">
      <w:bodyDiv w:val="1"/>
      <w:marLeft w:val="0"/>
      <w:marRight w:val="0"/>
      <w:marTop w:val="0"/>
      <w:marBottom w:val="0"/>
      <w:divBdr>
        <w:top w:val="none" w:sz="0" w:space="0" w:color="auto"/>
        <w:left w:val="none" w:sz="0" w:space="0" w:color="auto"/>
        <w:bottom w:val="none" w:sz="0" w:space="0" w:color="auto"/>
        <w:right w:val="none" w:sz="0" w:space="0" w:color="auto"/>
      </w:divBdr>
    </w:div>
    <w:div w:id="20240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ohreg2simm101\SAdata\SA%20Epi%20Profile\2016\Report\2017%20SEOW%20State%20Epi%20Report%20v%202.4%20Color.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941810146283131E-2"/>
          <c:y val="6.9825120998510862E-2"/>
          <c:w val="0.84840893529613148"/>
          <c:h val="0.73127842259895159"/>
        </c:manualLayout>
      </c:layout>
      <c:lineChart>
        <c:grouping val="standard"/>
        <c:varyColors val="0"/>
        <c:ser>
          <c:idx val="1"/>
          <c:order val="0"/>
          <c:tx>
            <c:strRef>
              <c:f>'All AR Death'!$BC$15</c:f>
              <c:strCache>
                <c:ptCount val="1"/>
                <c:pt idx="0">
                  <c:v>NM - Total Alcohol-Related (A-R)</c:v>
                </c:pt>
              </c:strCache>
            </c:strRef>
          </c:tx>
          <c:spPr>
            <a:ln w="28575" cap="rnd">
              <a:solidFill>
                <a:schemeClr val="accent2"/>
              </a:solidFill>
              <a:round/>
            </a:ln>
            <a:effectLst/>
          </c:spPr>
          <c:marker>
            <c:symbol val="none"/>
          </c:marker>
          <c:cat>
            <c:numRef>
              <c:f>'All AR Death'!$BD$12:$CC$12</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'All AR Death'!$BD$15:$CC$15</c:f>
              <c:numCache>
                <c:formatCode>0.0</c:formatCode>
                <c:ptCount val="26"/>
                <c:pt idx="0">
                  <c:v>46.584220049000002</c:v>
                </c:pt>
                <c:pt idx="1">
                  <c:v>46.195544386999998</c:v>
                </c:pt>
                <c:pt idx="2">
                  <c:v>46.379602366</c:v>
                </c:pt>
                <c:pt idx="3">
                  <c:v>44.158064175</c:v>
                </c:pt>
                <c:pt idx="4">
                  <c:v>44.456348335000001</c:v>
                </c:pt>
                <c:pt idx="5">
                  <c:v>45.074664556000002</c:v>
                </c:pt>
                <c:pt idx="6">
                  <c:v>47.143100365000002</c:v>
                </c:pt>
                <c:pt idx="7">
                  <c:v>45.684817213000002</c:v>
                </c:pt>
                <c:pt idx="8">
                  <c:v>44.194079752999997</c:v>
                </c:pt>
                <c:pt idx="9">
                  <c:v>45.180506383000001</c:v>
                </c:pt>
                <c:pt idx="10">
                  <c:v>48.562169128000001</c:v>
                </c:pt>
                <c:pt idx="11">
                  <c:v>47.742026922999997</c:v>
                </c:pt>
                <c:pt idx="12">
                  <c:v>47.942860398000001</c:v>
                </c:pt>
                <c:pt idx="13">
                  <c:v>50.531677518000002</c:v>
                </c:pt>
                <c:pt idx="14">
                  <c:v>49.175604655000001</c:v>
                </c:pt>
                <c:pt idx="15">
                  <c:v>48.558827841999999</c:v>
                </c:pt>
                <c:pt idx="16">
                  <c:v>50.628053411000003</c:v>
                </c:pt>
                <c:pt idx="17">
                  <c:v>53.988795779</c:v>
                </c:pt>
                <c:pt idx="18">
                  <c:v>53.515148123000003</c:v>
                </c:pt>
                <c:pt idx="19">
                  <c:v>50.527524989</c:v>
                </c:pt>
                <c:pt idx="20">
                  <c:v>49.433503418000001</c:v>
                </c:pt>
                <c:pt idx="21">
                  <c:v>53.484944290999998</c:v>
                </c:pt>
                <c:pt idx="22">
                  <c:v>54.425801911999997</c:v>
                </c:pt>
                <c:pt idx="23">
                  <c:v>53.037635065000003</c:v>
                </c:pt>
                <c:pt idx="24">
                  <c:v>59.374868343999999</c:v>
                </c:pt>
                <c:pt idx="25">
                  <c:v>65.708460364000004</c:v>
                </c:pt>
              </c:numCache>
            </c:numRef>
          </c:val>
          <c:smooth val="0"/>
          <c:extLst>
            <c:ext xmlns:c16="http://schemas.microsoft.com/office/drawing/2014/chart" uri="{C3380CC4-5D6E-409C-BE32-E72D297353CC}">
              <c16:uniqueId val="{00000000-B8BE-4E60-B49C-06E8EC0F8830}"/>
            </c:ext>
          </c:extLst>
        </c:ser>
        <c:ser>
          <c:idx val="0"/>
          <c:order val="1"/>
          <c:tx>
            <c:strRef>
              <c:f>'All AR Death'!$BC$14</c:f>
              <c:strCache>
                <c:ptCount val="1"/>
                <c:pt idx="0">
                  <c:v>NM - A-R Injury    </c:v>
                </c:pt>
              </c:strCache>
            </c:strRef>
          </c:tx>
          <c:spPr>
            <a:ln w="28575" cap="rnd">
              <a:solidFill>
                <a:schemeClr val="accent1"/>
              </a:solidFill>
              <a:round/>
            </a:ln>
            <a:effectLst/>
          </c:spPr>
          <c:marker>
            <c:symbol val="none"/>
          </c:marker>
          <c:cat>
            <c:numRef>
              <c:f>'All AR Death'!$BD$12:$CC$12</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'All AR Death'!$BD$14:$CC$14</c:f>
              <c:numCache>
                <c:formatCode>0.0</c:formatCode>
                <c:ptCount val="26"/>
                <c:pt idx="0">
                  <c:v>23.127597625</c:v>
                </c:pt>
                <c:pt idx="1">
                  <c:v>25.550120725999999</c:v>
                </c:pt>
                <c:pt idx="2">
                  <c:v>24.400260176</c:v>
                </c:pt>
                <c:pt idx="3">
                  <c:v>24.068742738000001</c:v>
                </c:pt>
                <c:pt idx="4">
                  <c:v>24.559014521000002</c:v>
                </c:pt>
                <c:pt idx="5">
                  <c:v>23.536749511</c:v>
                </c:pt>
                <c:pt idx="6">
                  <c:v>24.341931266</c:v>
                </c:pt>
                <c:pt idx="7">
                  <c:v>24.127874425000002</c:v>
                </c:pt>
                <c:pt idx="8">
                  <c:v>23.091729681</c:v>
                </c:pt>
                <c:pt idx="9">
                  <c:v>23.199433542000001</c:v>
                </c:pt>
                <c:pt idx="10">
                  <c:v>23.966628297</c:v>
                </c:pt>
                <c:pt idx="11">
                  <c:v>23.817695784000001</c:v>
                </c:pt>
                <c:pt idx="12">
                  <c:v>25.459303483999999</c:v>
                </c:pt>
                <c:pt idx="13">
                  <c:v>26.802120253999998</c:v>
                </c:pt>
                <c:pt idx="14">
                  <c:v>27.154907304999998</c:v>
                </c:pt>
                <c:pt idx="15">
                  <c:v>26.753482558999998</c:v>
                </c:pt>
                <c:pt idx="16">
                  <c:v>27.563753579</c:v>
                </c:pt>
                <c:pt idx="17">
                  <c:v>28.655080892000001</c:v>
                </c:pt>
                <c:pt idx="18">
                  <c:v>29.101719430999999</c:v>
                </c:pt>
                <c:pt idx="19">
                  <c:v>27.208258394000001</c:v>
                </c:pt>
                <c:pt idx="20">
                  <c:v>26.456112462</c:v>
                </c:pt>
                <c:pt idx="21">
                  <c:v>27.746590007999998</c:v>
                </c:pt>
                <c:pt idx="22">
                  <c:v>27.594940437000002</c:v>
                </c:pt>
                <c:pt idx="23">
                  <c:v>25.350526531</c:v>
                </c:pt>
                <c:pt idx="24">
                  <c:v>29.594991562000001</c:v>
                </c:pt>
                <c:pt idx="25">
                  <c:v>29.882128502</c:v>
                </c:pt>
              </c:numCache>
            </c:numRef>
          </c:val>
          <c:smooth val="0"/>
          <c:extLst>
            <c:ext xmlns:c16="http://schemas.microsoft.com/office/drawing/2014/chart" uri="{C3380CC4-5D6E-409C-BE32-E72D297353CC}">
              <c16:uniqueId val="{00000001-B8BE-4E60-B49C-06E8EC0F8830}"/>
            </c:ext>
          </c:extLst>
        </c:ser>
        <c:ser>
          <c:idx val="2"/>
          <c:order val="2"/>
          <c:tx>
            <c:strRef>
              <c:f>'All AR Death'!$BC$13</c:f>
              <c:strCache>
                <c:ptCount val="1"/>
                <c:pt idx="0">
                  <c:v>NM - A-R Chronic Disease</c:v>
                </c:pt>
              </c:strCache>
            </c:strRef>
          </c:tx>
          <c:spPr>
            <a:ln w="28575" cap="rnd">
              <a:solidFill>
                <a:schemeClr val="tx1"/>
              </a:solidFill>
              <a:round/>
            </a:ln>
            <a:effectLst/>
          </c:spPr>
          <c:marker>
            <c:symbol val="none"/>
          </c:marker>
          <c:cat>
            <c:numRef>
              <c:f>'All AR Death'!$BD$12:$CC$12</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'All AR Death'!$BD$13:$CC$13</c:f>
              <c:numCache>
                <c:formatCode>0.0</c:formatCode>
                <c:ptCount val="26"/>
                <c:pt idx="0">
                  <c:v>23.456622423999999</c:v>
                </c:pt>
                <c:pt idx="1">
                  <c:v>20.645423661999999</c:v>
                </c:pt>
                <c:pt idx="2">
                  <c:v>21.979342190000001</c:v>
                </c:pt>
                <c:pt idx="3">
                  <c:v>20.089321435999999</c:v>
                </c:pt>
                <c:pt idx="4">
                  <c:v>19.897333814</c:v>
                </c:pt>
                <c:pt idx="5">
                  <c:v>21.537915044999998</c:v>
                </c:pt>
                <c:pt idx="6">
                  <c:v>22.801169098999999</c:v>
                </c:pt>
                <c:pt idx="7">
                  <c:v>21.556942788000001</c:v>
                </c:pt>
                <c:pt idx="8">
                  <c:v>21.102350072</c:v>
                </c:pt>
                <c:pt idx="9">
                  <c:v>21.98107284</c:v>
                </c:pt>
                <c:pt idx="10">
                  <c:v>24.595540830000001</c:v>
                </c:pt>
                <c:pt idx="11">
                  <c:v>23.924331139</c:v>
                </c:pt>
                <c:pt idx="12">
                  <c:v>22.483556913000001</c:v>
                </c:pt>
                <c:pt idx="13">
                  <c:v>23.729557264</c:v>
                </c:pt>
                <c:pt idx="14">
                  <c:v>22.020697348999999</c:v>
                </c:pt>
                <c:pt idx="15">
                  <c:v>21.805345283000001</c:v>
                </c:pt>
                <c:pt idx="16">
                  <c:v>23.064299832</c:v>
                </c:pt>
                <c:pt idx="17">
                  <c:v>25.333714886999999</c:v>
                </c:pt>
                <c:pt idx="18">
                  <c:v>24.413428692</c:v>
                </c:pt>
                <c:pt idx="19">
                  <c:v>23.319266593999998</c:v>
                </c:pt>
                <c:pt idx="20">
                  <c:v>22.977390956000001</c:v>
                </c:pt>
                <c:pt idx="21">
                  <c:v>25.738354282</c:v>
                </c:pt>
                <c:pt idx="22">
                  <c:v>26.830861474999999</c:v>
                </c:pt>
                <c:pt idx="23">
                  <c:v>27.687108534</c:v>
                </c:pt>
                <c:pt idx="24">
                  <c:v>29.779876781999999</c:v>
                </c:pt>
                <c:pt idx="25">
                  <c:v>35.826331861</c:v>
                </c:pt>
              </c:numCache>
            </c:numRef>
          </c:val>
          <c:smooth val="0"/>
          <c:extLst>
            <c:ext xmlns:c16="http://schemas.microsoft.com/office/drawing/2014/chart" uri="{C3380CC4-5D6E-409C-BE32-E72D297353CC}">
              <c16:uniqueId val="{00000002-B8BE-4E60-B49C-06E8EC0F8830}"/>
            </c:ext>
          </c:extLst>
        </c:ser>
        <c:ser>
          <c:idx val="3"/>
          <c:order val="3"/>
          <c:tx>
            <c:strRef>
              <c:f>'All AR Death'!$BD$30</c:f>
              <c:strCache>
                <c:ptCount val="1"/>
                <c:pt idx="0">
                  <c:v>US - Total Alcohol-Related</c:v>
                </c:pt>
              </c:strCache>
            </c:strRef>
          </c:tx>
          <c:spPr>
            <a:ln w="28575" cap="rnd">
              <a:solidFill>
                <a:schemeClr val="accent4"/>
              </a:solidFill>
              <a:round/>
            </a:ln>
            <a:effectLst/>
          </c:spPr>
          <c:marker>
            <c:symbol val="none"/>
          </c:marker>
          <c:cat>
            <c:numRef>
              <c:f>'All AR Death'!$BD$12:$CC$12</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'All AR Death'!$BE$30:$CD$30</c:f>
              <c:numCache>
                <c:formatCode>0.0</c:formatCode>
                <c:ptCount val="26"/>
                <c:pt idx="0">
                  <c:v>30.894386577999999</c:v>
                </c:pt>
                <c:pt idx="1">
                  <c:v>30.194879843999999</c:v>
                </c:pt>
                <c:pt idx="2">
                  <c:v>29.280492682999999</c:v>
                </c:pt>
                <c:pt idx="3">
                  <c:v>29.442185622</c:v>
                </c:pt>
                <c:pt idx="4">
                  <c:v>29.166383552999999</c:v>
                </c:pt>
                <c:pt idx="5">
                  <c:v>28.694768763999999</c:v>
                </c:pt>
                <c:pt idx="6">
                  <c:v>27.974157025</c:v>
                </c:pt>
                <c:pt idx="7">
                  <c:v>27.343374418</c:v>
                </c:pt>
                <c:pt idx="8">
                  <c:v>26.890305790999999</c:v>
                </c:pt>
                <c:pt idx="9">
                  <c:v>26.059239341000001</c:v>
                </c:pt>
                <c:pt idx="10">
                  <c:v>26.101131817999999</c:v>
                </c:pt>
                <c:pt idx="11">
                  <c:v>26.594621857</c:v>
                </c:pt>
                <c:pt idx="12">
                  <c:v>27.185875534000001</c:v>
                </c:pt>
                <c:pt idx="13">
                  <c:v>27.382175589999999</c:v>
                </c:pt>
                <c:pt idx="14">
                  <c:v>27.401341706</c:v>
                </c:pt>
                <c:pt idx="15">
                  <c:v>27.802450706999998</c:v>
                </c:pt>
                <c:pt idx="16">
                  <c:v>28.072714430000001</c:v>
                </c:pt>
                <c:pt idx="17">
                  <c:v>28.292177369000001</c:v>
                </c:pt>
                <c:pt idx="18">
                  <c:v>28.224074566999999</c:v>
                </c:pt>
                <c:pt idx="19">
                  <c:v>27.600827685999999</c:v>
                </c:pt>
                <c:pt idx="20">
                  <c:v>27.9</c:v>
                </c:pt>
                <c:pt idx="21">
                  <c:v>28.53</c:v>
                </c:pt>
                <c:pt idx="22">
                  <c:v>26</c:v>
                </c:pt>
                <c:pt idx="23">
                  <c:v>29.4</c:v>
                </c:pt>
                <c:pt idx="24">
                  <c:v>30.1</c:v>
                </c:pt>
              </c:numCache>
            </c:numRef>
          </c:val>
          <c:smooth val="0"/>
          <c:extLst>
            <c:ext xmlns:c16="http://schemas.microsoft.com/office/drawing/2014/chart" uri="{C3380CC4-5D6E-409C-BE32-E72D297353CC}">
              <c16:uniqueId val="{00000003-B8BE-4E60-B49C-06E8EC0F8830}"/>
            </c:ext>
          </c:extLst>
        </c:ser>
        <c:dLbls>
          <c:showLegendKey val="0"/>
          <c:showVal val="0"/>
          <c:showCatName val="0"/>
          <c:showSerName val="0"/>
          <c:showPercent val="0"/>
          <c:showBubbleSize val="0"/>
        </c:dLbls>
        <c:smooth val="0"/>
        <c:axId val="-1674391520"/>
        <c:axId val="-1674395872"/>
      </c:lineChart>
      <c:catAx>
        <c:axId val="-1674391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000"/>
                  <a:t>Year</a:t>
                </a:r>
              </a:p>
            </c:rich>
          </c:tx>
          <c:layout>
            <c:manualLayout>
              <c:xMode val="edge"/>
              <c:yMode val="edge"/>
              <c:x val="0.4812749841923431"/>
              <c:y val="0.919815580354547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1674395872"/>
        <c:crosses val="autoZero"/>
        <c:auto val="1"/>
        <c:lblAlgn val="ctr"/>
        <c:lblOffset val="100"/>
        <c:tickLblSkip val="1"/>
        <c:tickMarkSkip val="1"/>
        <c:noMultiLvlLbl val="0"/>
      </c:catAx>
      <c:valAx>
        <c:axId val="-1674395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000"/>
                  <a:t>Rate per 100,000 population</a:t>
                </a:r>
              </a:p>
            </c:rich>
          </c:tx>
          <c:layout>
            <c:manualLayout>
              <c:xMode val="edge"/>
              <c:yMode val="edge"/>
              <c:x val="8.1427636406910097E-3"/>
              <c:y val="0.203182326739988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wrap="square" anchor="ctr" anchorCtr="1"/>
          <a:lstStyle/>
          <a:p>
            <a:pPr>
              <a:defRPr sz="1000" b="0" i="0" u="none" strike="noStrike" kern="1200" baseline="0">
                <a:solidFill>
                  <a:schemeClr val="tx1"/>
                </a:solidFill>
                <a:latin typeface="+mn-lt"/>
                <a:ea typeface="+mn-ea"/>
                <a:cs typeface="+mn-cs"/>
              </a:defRPr>
            </a:pPr>
            <a:endParaRPr lang="en-US"/>
          </a:p>
        </c:txPr>
        <c:crossAx val="-1674391520"/>
        <c:crosses val="autoZero"/>
        <c:crossBetween val="midCat"/>
      </c:valAx>
      <c:spPr>
        <a:noFill/>
        <a:ln>
          <a:noFill/>
        </a:ln>
        <a:effectLst/>
      </c:spPr>
    </c:plotArea>
    <c:legend>
      <c:legendPos val="b"/>
      <c:layout>
        <c:manualLayout>
          <c:xMode val="edge"/>
          <c:yMode val="edge"/>
          <c:x val="9.2639960311609523E-2"/>
          <c:y val="5.9814461356382499E-2"/>
          <c:w val="0.70484016226786117"/>
          <c:h val="0.13336436403681454"/>
        </c:manualLayout>
      </c:layout>
      <c:overlay val="0"/>
      <c:spPr>
        <a:solidFill>
          <a:schemeClr val="bg1"/>
        </a:solidFill>
        <a:ln>
          <a:solidFill>
            <a:schemeClr val="tx1"/>
          </a:solid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800">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Total SA Deaths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E09-4A4B-A92A-7737239F1F4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E09-4A4B-A92A-7737239F1F4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AE09-4A4B-A92A-7737239F1F4D}"/>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AE09-4A4B-A92A-7737239F1F4D}"/>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AE09-4A4B-A92A-7737239F1F4D}"/>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AE09-4A4B-A92A-7737239F1F4D}"/>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AE09-4A4B-A92A-7737239F1F4D}"/>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AE09-4A4B-A92A-7737239F1F4D}"/>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AE09-4A4B-A92A-7737239F1F4D}"/>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13-AE09-4A4B-A92A-7737239F1F4D}"/>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5-AE09-4A4B-A92A-7737239F1F4D}"/>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17-AE09-4A4B-A92A-7737239F1F4D}"/>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19-AE09-4A4B-A92A-7737239F1F4D}"/>
              </c:ext>
            </c:extLst>
          </c:dPt>
          <c:dPt>
            <c:idx val="1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1B-AE09-4A4B-A92A-7737239F1F4D}"/>
              </c:ext>
            </c:extLst>
          </c:dPt>
          <c:dPt>
            <c:idx val="1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1D-AE09-4A4B-A92A-7737239F1F4D}"/>
              </c:ext>
            </c:extLst>
          </c:dPt>
          <c:dPt>
            <c:idx val="1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1F-AE09-4A4B-A92A-7737239F1F4D}"/>
              </c:ext>
            </c:extLst>
          </c:dPt>
          <c:dPt>
            <c:idx val="1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21-AE09-4A4B-A92A-7737239F1F4D}"/>
              </c:ext>
            </c:extLst>
          </c:dPt>
          <c:dPt>
            <c:idx val="17"/>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23-AE09-4A4B-A92A-7737239F1F4D}"/>
              </c:ext>
            </c:extLst>
          </c:dPt>
          <c:dPt>
            <c:idx val="18"/>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25-AE09-4A4B-A92A-7737239F1F4D}"/>
              </c:ext>
            </c:extLst>
          </c:dPt>
          <c:dPt>
            <c:idx val="19"/>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27-AE09-4A4B-A92A-7737239F1F4D}"/>
              </c:ext>
            </c:extLst>
          </c:dPt>
          <c:dPt>
            <c:idx val="20"/>
            <c:bubble3D val="0"/>
            <c:spPr>
              <a:solidFill>
                <a:schemeClr val="accent4">
                  <a:lumMod val="70000"/>
                  <a:lumOff val="30000"/>
                </a:schemeClr>
              </a:solidFill>
              <a:ln w="19050">
                <a:solidFill>
                  <a:schemeClr val="lt1"/>
                </a:solidFill>
              </a:ln>
              <a:effectLst/>
            </c:spPr>
            <c:extLst>
              <c:ext xmlns:c16="http://schemas.microsoft.com/office/drawing/2014/chart" uri="{C3380CC4-5D6E-409C-BE32-E72D297353CC}">
                <c16:uniqueId val="{00000029-AE09-4A4B-A92A-7737239F1F4D}"/>
              </c:ext>
            </c:extLst>
          </c:dPt>
          <c:dPt>
            <c:idx val="21"/>
            <c:bubble3D val="0"/>
            <c:spPr>
              <a:solidFill>
                <a:schemeClr val="accent6">
                  <a:lumMod val="70000"/>
                </a:schemeClr>
              </a:solidFill>
              <a:ln w="19050">
                <a:solidFill>
                  <a:schemeClr val="lt1"/>
                </a:solidFill>
              </a:ln>
              <a:effectLst/>
            </c:spPr>
            <c:extLst>
              <c:ext xmlns:c16="http://schemas.microsoft.com/office/drawing/2014/chart" uri="{C3380CC4-5D6E-409C-BE32-E72D297353CC}">
                <c16:uniqueId val="{0000002B-AE09-4A4B-A92A-7737239F1F4D}"/>
              </c:ext>
            </c:extLst>
          </c:dPt>
          <c:dPt>
            <c:idx val="22"/>
            <c:bubble3D val="0"/>
            <c:spPr>
              <a:solidFill>
                <a:schemeClr val="accent5">
                  <a:lumMod val="70000"/>
                </a:schemeClr>
              </a:solidFill>
              <a:ln w="19050">
                <a:solidFill>
                  <a:schemeClr val="lt1"/>
                </a:solidFill>
              </a:ln>
              <a:effectLst/>
            </c:spPr>
            <c:extLst>
              <c:ext xmlns:c16="http://schemas.microsoft.com/office/drawing/2014/chart" uri="{C3380CC4-5D6E-409C-BE32-E72D297353CC}">
                <c16:uniqueId val="{0000002D-AE09-4A4B-A92A-7737239F1F4D}"/>
              </c:ext>
            </c:extLst>
          </c:dPt>
          <c:dPt>
            <c:idx val="23"/>
            <c:bubble3D val="0"/>
            <c:spPr>
              <a:solidFill>
                <a:schemeClr val="accent4">
                  <a:lumMod val="70000"/>
                </a:schemeClr>
              </a:solidFill>
              <a:ln w="19050">
                <a:solidFill>
                  <a:schemeClr val="lt1"/>
                </a:solidFill>
              </a:ln>
              <a:effectLst/>
            </c:spPr>
            <c:extLst>
              <c:ext xmlns:c16="http://schemas.microsoft.com/office/drawing/2014/chart" uri="{C3380CC4-5D6E-409C-BE32-E72D297353CC}">
                <c16:uniqueId val="{0000002F-AE09-4A4B-A92A-7737239F1F4D}"/>
              </c:ext>
            </c:extLst>
          </c:dPt>
          <c:dPt>
            <c:idx val="24"/>
            <c:bubble3D val="0"/>
            <c:spPr>
              <a:solidFill>
                <a:schemeClr val="accent6">
                  <a:lumMod val="50000"/>
                  <a:lumOff val="50000"/>
                </a:schemeClr>
              </a:solidFill>
              <a:ln w="19050">
                <a:solidFill>
                  <a:schemeClr val="lt1"/>
                </a:solidFill>
              </a:ln>
              <a:effectLst/>
            </c:spPr>
            <c:extLst>
              <c:ext xmlns:c16="http://schemas.microsoft.com/office/drawing/2014/chart" uri="{C3380CC4-5D6E-409C-BE32-E72D297353CC}">
                <c16:uniqueId val="{00000031-AE09-4A4B-A92A-7737239F1F4D}"/>
              </c:ext>
            </c:extLst>
          </c:dPt>
          <c:dPt>
            <c:idx val="25"/>
            <c:bubble3D val="0"/>
            <c:spPr>
              <a:solidFill>
                <a:schemeClr val="accent5">
                  <a:lumMod val="50000"/>
                  <a:lumOff val="50000"/>
                </a:schemeClr>
              </a:solidFill>
              <a:ln w="19050">
                <a:solidFill>
                  <a:schemeClr val="lt1"/>
                </a:solidFill>
              </a:ln>
              <a:effectLst/>
            </c:spPr>
            <c:extLst>
              <c:ext xmlns:c16="http://schemas.microsoft.com/office/drawing/2014/chart" uri="{C3380CC4-5D6E-409C-BE32-E72D297353CC}">
                <c16:uniqueId val="{00000033-AE09-4A4B-A92A-7737239F1F4D}"/>
              </c:ext>
            </c:extLst>
          </c:dPt>
          <c:dPt>
            <c:idx val="26"/>
            <c:bubble3D val="0"/>
            <c:spPr>
              <a:solidFill>
                <a:schemeClr val="accent4">
                  <a:lumMod val="50000"/>
                  <a:lumOff val="50000"/>
                </a:schemeClr>
              </a:solidFill>
              <a:ln w="19050">
                <a:solidFill>
                  <a:schemeClr val="lt1"/>
                </a:solidFill>
              </a:ln>
              <a:effectLst/>
            </c:spPr>
            <c:extLst>
              <c:ext xmlns:c16="http://schemas.microsoft.com/office/drawing/2014/chart" uri="{C3380CC4-5D6E-409C-BE32-E72D297353CC}">
                <c16:uniqueId val="{00000035-AE09-4A4B-A92A-7737239F1F4D}"/>
              </c:ext>
            </c:extLst>
          </c:dPt>
          <c:dPt>
            <c:idx val="27"/>
            <c:bubble3D val="0"/>
            <c:spPr>
              <a:solidFill>
                <a:schemeClr val="accent6"/>
              </a:solidFill>
              <a:ln w="19050">
                <a:solidFill>
                  <a:schemeClr val="lt1"/>
                </a:solidFill>
              </a:ln>
              <a:effectLst/>
            </c:spPr>
            <c:extLst>
              <c:ext xmlns:c16="http://schemas.microsoft.com/office/drawing/2014/chart" uri="{C3380CC4-5D6E-409C-BE32-E72D297353CC}">
                <c16:uniqueId val="{00000037-AE09-4A4B-A92A-7737239F1F4D}"/>
              </c:ext>
            </c:extLst>
          </c:dPt>
          <c:dPt>
            <c:idx val="28"/>
            <c:bubble3D val="0"/>
            <c:spPr>
              <a:solidFill>
                <a:schemeClr val="accent5"/>
              </a:solidFill>
              <a:ln w="19050">
                <a:solidFill>
                  <a:schemeClr val="lt1"/>
                </a:solidFill>
              </a:ln>
              <a:effectLst/>
            </c:spPr>
            <c:extLst>
              <c:ext xmlns:c16="http://schemas.microsoft.com/office/drawing/2014/chart" uri="{C3380CC4-5D6E-409C-BE32-E72D297353CC}">
                <c16:uniqueId val="{00000039-AE09-4A4B-A92A-7737239F1F4D}"/>
              </c:ext>
            </c:extLst>
          </c:dPt>
          <c:dPt>
            <c:idx val="29"/>
            <c:bubble3D val="0"/>
            <c:spPr>
              <a:solidFill>
                <a:schemeClr val="accent4"/>
              </a:solidFill>
              <a:ln w="19050">
                <a:solidFill>
                  <a:schemeClr val="lt1"/>
                </a:solidFill>
              </a:ln>
              <a:effectLst/>
            </c:spPr>
            <c:extLst>
              <c:ext xmlns:c16="http://schemas.microsoft.com/office/drawing/2014/chart" uri="{C3380CC4-5D6E-409C-BE32-E72D297353CC}">
                <c16:uniqueId val="{0000003B-AE09-4A4B-A92A-7737239F1F4D}"/>
              </c:ext>
            </c:extLst>
          </c:dPt>
          <c:dPt>
            <c:idx val="3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D-AE09-4A4B-A92A-7737239F1F4D}"/>
              </c:ext>
            </c:extLst>
          </c:dPt>
          <c:dPt>
            <c:idx val="31"/>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F-AE09-4A4B-A92A-7737239F1F4D}"/>
              </c:ext>
            </c:extLst>
          </c:dPt>
          <c:dPt>
            <c:idx val="32"/>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1-AE09-4A4B-A92A-7737239F1F4D}"/>
              </c:ext>
            </c:extLst>
          </c:dPt>
          <c:dPt>
            <c:idx val="33"/>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43-AE09-4A4B-A92A-7737239F1F4D}"/>
              </c:ext>
            </c:extLst>
          </c:dPt>
          <c:dPt>
            <c:idx val="34"/>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45-AE09-4A4B-A92A-7737239F1F4D}"/>
              </c:ext>
            </c:extLst>
          </c:dPt>
          <c:dPt>
            <c:idx val="3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7-AE09-4A4B-A92A-7737239F1F4D}"/>
              </c:ext>
            </c:extLst>
          </c:dPt>
          <c:dPt>
            <c:idx val="36"/>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49-AE09-4A4B-A92A-7737239F1F4D}"/>
              </c:ext>
            </c:extLst>
          </c:dPt>
          <c:dPt>
            <c:idx val="37"/>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4B-AE09-4A4B-A92A-7737239F1F4D}"/>
              </c:ext>
            </c:extLst>
          </c:dPt>
          <c:dPt>
            <c:idx val="38"/>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4D-AE09-4A4B-A92A-7737239F1F4D}"/>
              </c:ext>
            </c:extLst>
          </c:dPt>
          <c:dPt>
            <c:idx val="3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4F-AE09-4A4B-A92A-7737239F1F4D}"/>
              </c:ext>
            </c:extLst>
          </c:dPt>
          <c:dPt>
            <c:idx val="40"/>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51-AE09-4A4B-A92A-7737239F1F4D}"/>
              </c:ext>
            </c:extLst>
          </c:dPt>
          <c:dPt>
            <c:idx val="41"/>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53-AE09-4A4B-A92A-7737239F1F4D}"/>
              </c:ext>
            </c:extLst>
          </c:dPt>
          <c:dPt>
            <c:idx val="42"/>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55-AE09-4A4B-A92A-7737239F1F4D}"/>
              </c:ext>
            </c:extLst>
          </c:dPt>
          <c:dPt>
            <c:idx val="43"/>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57-AE09-4A4B-A92A-7737239F1F4D}"/>
              </c:ext>
            </c:extLst>
          </c:dPt>
          <c:dPt>
            <c:idx val="44"/>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59-AE09-4A4B-A92A-7737239F1F4D}"/>
              </c:ext>
            </c:extLst>
          </c:dPt>
          <c:dPt>
            <c:idx val="45"/>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5B-AE09-4A4B-A92A-7737239F1F4D}"/>
              </c:ext>
            </c:extLst>
          </c:dPt>
          <c:dPt>
            <c:idx val="46"/>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5D-AE09-4A4B-A92A-7737239F1F4D}"/>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Sheet1!$A$2:$A$48</c:f>
              <c:strCache>
                <c:ptCount val="12"/>
                <c:pt idx="0">
                  <c:v>Alcoholic liver disease                            </c:v>
                </c:pt>
                <c:pt idx="1">
                  <c:v>Drug overdose</c:v>
                </c:pt>
                <c:pt idx="2">
                  <c:v>Liver cirrhosis, unspecified                     </c:v>
                </c:pt>
                <c:pt idx="3">
                  <c:v>Motor-vehicle traffic crashes                      </c:v>
                </c:pt>
                <c:pt idx="4">
                  <c:v>Alcohol abuse         </c:v>
                </c:pt>
                <c:pt idx="5">
                  <c:v>Fall injuries                                      </c:v>
                </c:pt>
                <c:pt idx="6">
                  <c:v>Suicide                                            </c:v>
                </c:pt>
                <c:pt idx="7">
                  <c:v>Homicide                                           </c:v>
                </c:pt>
                <c:pt idx="8">
                  <c:v>Alcohol dependence     </c:v>
                </c:pt>
                <c:pt idx="9">
                  <c:v>Alcohol poisoning                                  </c:v>
                </c:pt>
                <c:pt idx="10">
                  <c:v>Liver cancer                                       </c:v>
                </c:pt>
                <c:pt idx="11">
                  <c:v>Other</c:v>
                </c:pt>
              </c:strCache>
            </c:strRef>
          </c:cat>
          <c:val>
            <c:numRef>
              <c:f>Sheet1!$B$2:$B$48</c:f>
              <c:numCache>
                <c:formatCode>General</c:formatCode>
                <c:ptCount val="47"/>
                <c:pt idx="0">
                  <c:v>1456</c:v>
                </c:pt>
                <c:pt idx="1">
                  <c:v>622.91999999999996</c:v>
                </c:pt>
                <c:pt idx="2">
                  <c:v>613.20000000000005</c:v>
                </c:pt>
                <c:pt idx="3">
                  <c:v>546.11</c:v>
                </c:pt>
                <c:pt idx="4">
                  <c:v>523</c:v>
                </c:pt>
                <c:pt idx="5">
                  <c:v>521.28</c:v>
                </c:pt>
                <c:pt idx="6">
                  <c:v>507.15</c:v>
                </c:pt>
                <c:pt idx="7">
                  <c:v>319.13</c:v>
                </c:pt>
                <c:pt idx="8">
                  <c:v>314</c:v>
                </c:pt>
                <c:pt idx="9">
                  <c:v>228</c:v>
                </c:pt>
                <c:pt idx="10">
                  <c:v>50.251142999999999</c:v>
                </c:pt>
                <c:pt idx="11">
                  <c:v>486.9325</c:v>
                </c:pt>
              </c:numCache>
            </c:numRef>
          </c:val>
          <c:extLst>
            <c:ext xmlns:c16="http://schemas.microsoft.com/office/drawing/2014/chart" uri="{C3380CC4-5D6E-409C-BE32-E72D297353CC}">
              <c16:uniqueId val="{0000005E-AE09-4A4B-A92A-7737239F1F4D}"/>
            </c:ext>
          </c:extLst>
        </c:ser>
        <c:ser>
          <c:idx val="1"/>
          <c:order val="1"/>
          <c:tx>
            <c:strRef>
              <c:f>Sheet1!$C$1</c:f>
              <c:strCache>
                <c:ptCount val="1"/>
                <c:pt idx="0">
                  <c:v>Column1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60-AE09-4A4B-A92A-7737239F1F4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62-AE09-4A4B-A92A-7737239F1F4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64-AE09-4A4B-A92A-7737239F1F4D}"/>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66-AE09-4A4B-A92A-7737239F1F4D}"/>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68-AE09-4A4B-A92A-7737239F1F4D}"/>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6A-AE09-4A4B-A92A-7737239F1F4D}"/>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6C-AE09-4A4B-A92A-7737239F1F4D}"/>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6E-AE09-4A4B-A92A-7737239F1F4D}"/>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0-AE09-4A4B-A92A-7737239F1F4D}"/>
              </c:ext>
            </c:extLst>
          </c:dPt>
          <c:dPt>
            <c:idx val="9"/>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72-AE09-4A4B-A92A-7737239F1F4D}"/>
              </c:ext>
            </c:extLst>
          </c:dPt>
          <c:dPt>
            <c:idx val="10"/>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74-AE09-4A4B-A92A-7737239F1F4D}"/>
              </c:ext>
            </c:extLst>
          </c:dPt>
          <c:dPt>
            <c:idx val="1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76-AE09-4A4B-A92A-7737239F1F4D}"/>
              </c:ext>
            </c:extLst>
          </c:dPt>
          <c:dPt>
            <c:idx val="1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78-AE09-4A4B-A92A-7737239F1F4D}"/>
              </c:ext>
            </c:extLst>
          </c:dPt>
          <c:dPt>
            <c:idx val="13"/>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7A-AE09-4A4B-A92A-7737239F1F4D}"/>
              </c:ext>
            </c:extLst>
          </c:dPt>
          <c:dPt>
            <c:idx val="14"/>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7C-AE09-4A4B-A92A-7737239F1F4D}"/>
              </c:ext>
            </c:extLst>
          </c:dPt>
          <c:dPt>
            <c:idx val="15"/>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7E-AE09-4A4B-A92A-7737239F1F4D}"/>
              </c:ext>
            </c:extLst>
          </c:dPt>
          <c:dPt>
            <c:idx val="1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80-AE09-4A4B-A92A-7737239F1F4D}"/>
              </c:ext>
            </c:extLst>
          </c:dPt>
          <c:dPt>
            <c:idx val="17"/>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82-AE09-4A4B-A92A-7737239F1F4D}"/>
              </c:ext>
            </c:extLst>
          </c:dPt>
          <c:dPt>
            <c:idx val="18"/>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84-AE09-4A4B-A92A-7737239F1F4D}"/>
              </c:ext>
            </c:extLst>
          </c:dPt>
          <c:dPt>
            <c:idx val="19"/>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86-AE09-4A4B-A92A-7737239F1F4D}"/>
              </c:ext>
            </c:extLst>
          </c:dPt>
          <c:dPt>
            <c:idx val="20"/>
            <c:bubble3D val="0"/>
            <c:spPr>
              <a:solidFill>
                <a:schemeClr val="accent4">
                  <a:lumMod val="70000"/>
                  <a:lumOff val="30000"/>
                </a:schemeClr>
              </a:solidFill>
              <a:ln w="19050">
                <a:solidFill>
                  <a:schemeClr val="lt1"/>
                </a:solidFill>
              </a:ln>
              <a:effectLst/>
            </c:spPr>
            <c:extLst>
              <c:ext xmlns:c16="http://schemas.microsoft.com/office/drawing/2014/chart" uri="{C3380CC4-5D6E-409C-BE32-E72D297353CC}">
                <c16:uniqueId val="{00000088-AE09-4A4B-A92A-7737239F1F4D}"/>
              </c:ext>
            </c:extLst>
          </c:dPt>
          <c:dPt>
            <c:idx val="21"/>
            <c:bubble3D val="0"/>
            <c:spPr>
              <a:solidFill>
                <a:schemeClr val="accent6">
                  <a:lumMod val="70000"/>
                </a:schemeClr>
              </a:solidFill>
              <a:ln w="19050">
                <a:solidFill>
                  <a:schemeClr val="lt1"/>
                </a:solidFill>
              </a:ln>
              <a:effectLst/>
            </c:spPr>
            <c:extLst>
              <c:ext xmlns:c16="http://schemas.microsoft.com/office/drawing/2014/chart" uri="{C3380CC4-5D6E-409C-BE32-E72D297353CC}">
                <c16:uniqueId val="{0000008A-AE09-4A4B-A92A-7737239F1F4D}"/>
              </c:ext>
            </c:extLst>
          </c:dPt>
          <c:dPt>
            <c:idx val="22"/>
            <c:bubble3D val="0"/>
            <c:spPr>
              <a:solidFill>
                <a:schemeClr val="accent5">
                  <a:lumMod val="70000"/>
                </a:schemeClr>
              </a:solidFill>
              <a:ln w="19050">
                <a:solidFill>
                  <a:schemeClr val="lt1"/>
                </a:solidFill>
              </a:ln>
              <a:effectLst/>
            </c:spPr>
            <c:extLst>
              <c:ext xmlns:c16="http://schemas.microsoft.com/office/drawing/2014/chart" uri="{C3380CC4-5D6E-409C-BE32-E72D297353CC}">
                <c16:uniqueId val="{0000008C-AE09-4A4B-A92A-7737239F1F4D}"/>
              </c:ext>
            </c:extLst>
          </c:dPt>
          <c:dPt>
            <c:idx val="23"/>
            <c:bubble3D val="0"/>
            <c:spPr>
              <a:solidFill>
                <a:schemeClr val="accent4">
                  <a:lumMod val="70000"/>
                </a:schemeClr>
              </a:solidFill>
              <a:ln w="19050">
                <a:solidFill>
                  <a:schemeClr val="lt1"/>
                </a:solidFill>
              </a:ln>
              <a:effectLst/>
            </c:spPr>
            <c:extLst>
              <c:ext xmlns:c16="http://schemas.microsoft.com/office/drawing/2014/chart" uri="{C3380CC4-5D6E-409C-BE32-E72D297353CC}">
                <c16:uniqueId val="{0000008E-AE09-4A4B-A92A-7737239F1F4D}"/>
              </c:ext>
            </c:extLst>
          </c:dPt>
          <c:dPt>
            <c:idx val="24"/>
            <c:bubble3D val="0"/>
            <c:spPr>
              <a:solidFill>
                <a:schemeClr val="accent6">
                  <a:lumMod val="50000"/>
                  <a:lumOff val="50000"/>
                </a:schemeClr>
              </a:solidFill>
              <a:ln w="19050">
                <a:solidFill>
                  <a:schemeClr val="lt1"/>
                </a:solidFill>
              </a:ln>
              <a:effectLst/>
            </c:spPr>
            <c:extLst>
              <c:ext xmlns:c16="http://schemas.microsoft.com/office/drawing/2014/chart" uri="{C3380CC4-5D6E-409C-BE32-E72D297353CC}">
                <c16:uniqueId val="{00000090-AE09-4A4B-A92A-7737239F1F4D}"/>
              </c:ext>
            </c:extLst>
          </c:dPt>
          <c:dPt>
            <c:idx val="25"/>
            <c:bubble3D val="0"/>
            <c:spPr>
              <a:solidFill>
                <a:schemeClr val="accent5">
                  <a:lumMod val="50000"/>
                  <a:lumOff val="50000"/>
                </a:schemeClr>
              </a:solidFill>
              <a:ln w="19050">
                <a:solidFill>
                  <a:schemeClr val="lt1"/>
                </a:solidFill>
              </a:ln>
              <a:effectLst/>
            </c:spPr>
            <c:extLst>
              <c:ext xmlns:c16="http://schemas.microsoft.com/office/drawing/2014/chart" uri="{C3380CC4-5D6E-409C-BE32-E72D297353CC}">
                <c16:uniqueId val="{00000092-AE09-4A4B-A92A-7737239F1F4D}"/>
              </c:ext>
            </c:extLst>
          </c:dPt>
          <c:dPt>
            <c:idx val="26"/>
            <c:bubble3D val="0"/>
            <c:spPr>
              <a:solidFill>
                <a:schemeClr val="accent4">
                  <a:lumMod val="50000"/>
                  <a:lumOff val="50000"/>
                </a:schemeClr>
              </a:solidFill>
              <a:ln w="19050">
                <a:solidFill>
                  <a:schemeClr val="lt1"/>
                </a:solidFill>
              </a:ln>
              <a:effectLst/>
            </c:spPr>
            <c:extLst>
              <c:ext xmlns:c16="http://schemas.microsoft.com/office/drawing/2014/chart" uri="{C3380CC4-5D6E-409C-BE32-E72D297353CC}">
                <c16:uniqueId val="{00000094-AE09-4A4B-A92A-7737239F1F4D}"/>
              </c:ext>
            </c:extLst>
          </c:dPt>
          <c:dPt>
            <c:idx val="27"/>
            <c:bubble3D val="0"/>
            <c:spPr>
              <a:solidFill>
                <a:schemeClr val="accent6"/>
              </a:solidFill>
              <a:ln w="19050">
                <a:solidFill>
                  <a:schemeClr val="lt1"/>
                </a:solidFill>
              </a:ln>
              <a:effectLst/>
            </c:spPr>
            <c:extLst>
              <c:ext xmlns:c16="http://schemas.microsoft.com/office/drawing/2014/chart" uri="{C3380CC4-5D6E-409C-BE32-E72D297353CC}">
                <c16:uniqueId val="{00000096-AE09-4A4B-A92A-7737239F1F4D}"/>
              </c:ext>
            </c:extLst>
          </c:dPt>
          <c:dPt>
            <c:idx val="28"/>
            <c:bubble3D val="0"/>
            <c:spPr>
              <a:solidFill>
                <a:schemeClr val="accent5"/>
              </a:solidFill>
              <a:ln w="19050">
                <a:solidFill>
                  <a:schemeClr val="lt1"/>
                </a:solidFill>
              </a:ln>
              <a:effectLst/>
            </c:spPr>
            <c:extLst>
              <c:ext xmlns:c16="http://schemas.microsoft.com/office/drawing/2014/chart" uri="{C3380CC4-5D6E-409C-BE32-E72D297353CC}">
                <c16:uniqueId val="{00000098-AE09-4A4B-A92A-7737239F1F4D}"/>
              </c:ext>
            </c:extLst>
          </c:dPt>
          <c:dPt>
            <c:idx val="29"/>
            <c:bubble3D val="0"/>
            <c:spPr>
              <a:solidFill>
                <a:schemeClr val="accent4"/>
              </a:solidFill>
              <a:ln w="19050">
                <a:solidFill>
                  <a:schemeClr val="lt1"/>
                </a:solidFill>
              </a:ln>
              <a:effectLst/>
            </c:spPr>
            <c:extLst>
              <c:ext xmlns:c16="http://schemas.microsoft.com/office/drawing/2014/chart" uri="{C3380CC4-5D6E-409C-BE32-E72D297353CC}">
                <c16:uniqueId val="{0000009A-AE09-4A4B-A92A-7737239F1F4D}"/>
              </c:ext>
            </c:extLst>
          </c:dPt>
          <c:dPt>
            <c:idx val="30"/>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9C-AE09-4A4B-A92A-7737239F1F4D}"/>
              </c:ext>
            </c:extLst>
          </c:dPt>
          <c:dPt>
            <c:idx val="31"/>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9E-AE09-4A4B-A92A-7737239F1F4D}"/>
              </c:ext>
            </c:extLst>
          </c:dPt>
          <c:dPt>
            <c:idx val="32"/>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AE09-4A4B-A92A-7737239F1F4D}"/>
              </c:ext>
            </c:extLst>
          </c:dPt>
          <c:dPt>
            <c:idx val="33"/>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A2-AE09-4A4B-A92A-7737239F1F4D}"/>
              </c:ext>
            </c:extLst>
          </c:dPt>
          <c:dPt>
            <c:idx val="34"/>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4-AE09-4A4B-A92A-7737239F1F4D}"/>
              </c:ext>
            </c:extLst>
          </c:dPt>
          <c:dPt>
            <c:idx val="3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6-AE09-4A4B-A92A-7737239F1F4D}"/>
              </c:ext>
            </c:extLst>
          </c:dPt>
          <c:dPt>
            <c:idx val="36"/>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A8-AE09-4A4B-A92A-7737239F1F4D}"/>
              </c:ext>
            </c:extLst>
          </c:dPt>
          <c:dPt>
            <c:idx val="37"/>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AA-AE09-4A4B-A92A-7737239F1F4D}"/>
              </c:ext>
            </c:extLst>
          </c:dPt>
          <c:dPt>
            <c:idx val="38"/>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AC-AE09-4A4B-A92A-7737239F1F4D}"/>
              </c:ext>
            </c:extLst>
          </c:dPt>
          <c:dPt>
            <c:idx val="39"/>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AE-AE09-4A4B-A92A-7737239F1F4D}"/>
              </c:ext>
            </c:extLst>
          </c:dPt>
          <c:dPt>
            <c:idx val="40"/>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B0-AE09-4A4B-A92A-7737239F1F4D}"/>
              </c:ext>
            </c:extLst>
          </c:dPt>
          <c:dPt>
            <c:idx val="41"/>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B2-AE09-4A4B-A92A-7737239F1F4D}"/>
              </c:ext>
            </c:extLst>
          </c:dPt>
          <c:dPt>
            <c:idx val="42"/>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B4-AE09-4A4B-A92A-7737239F1F4D}"/>
              </c:ext>
            </c:extLst>
          </c:dPt>
          <c:dPt>
            <c:idx val="43"/>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B6-AE09-4A4B-A92A-7737239F1F4D}"/>
              </c:ext>
            </c:extLst>
          </c:dPt>
          <c:dPt>
            <c:idx val="44"/>
            <c:bubble3D val="0"/>
            <c:spPr>
              <a:solidFill>
                <a:schemeClr val="accent4">
                  <a:lumMod val="50000"/>
                </a:schemeClr>
              </a:solidFill>
              <a:ln w="19050">
                <a:solidFill>
                  <a:schemeClr val="lt1"/>
                </a:solidFill>
              </a:ln>
              <a:effectLst/>
            </c:spPr>
            <c:extLst>
              <c:ext xmlns:c16="http://schemas.microsoft.com/office/drawing/2014/chart" uri="{C3380CC4-5D6E-409C-BE32-E72D297353CC}">
                <c16:uniqueId val="{000000B8-AE09-4A4B-A92A-7737239F1F4D}"/>
              </c:ext>
            </c:extLst>
          </c:dPt>
          <c:dPt>
            <c:idx val="45"/>
            <c:bubble3D val="0"/>
            <c:spPr>
              <a:solidFill>
                <a:schemeClr val="accent6">
                  <a:lumMod val="70000"/>
                  <a:lumOff val="30000"/>
                </a:schemeClr>
              </a:solidFill>
              <a:ln w="19050">
                <a:solidFill>
                  <a:schemeClr val="lt1"/>
                </a:solidFill>
              </a:ln>
              <a:effectLst/>
            </c:spPr>
            <c:extLst>
              <c:ext xmlns:c16="http://schemas.microsoft.com/office/drawing/2014/chart" uri="{C3380CC4-5D6E-409C-BE32-E72D297353CC}">
                <c16:uniqueId val="{000000BA-AE09-4A4B-A92A-7737239F1F4D}"/>
              </c:ext>
            </c:extLst>
          </c:dPt>
          <c:dPt>
            <c:idx val="46"/>
            <c:bubble3D val="0"/>
            <c:spPr>
              <a:solidFill>
                <a:schemeClr val="accent5">
                  <a:lumMod val="70000"/>
                  <a:lumOff val="30000"/>
                </a:schemeClr>
              </a:solidFill>
              <a:ln w="19050">
                <a:solidFill>
                  <a:schemeClr val="lt1"/>
                </a:solidFill>
              </a:ln>
              <a:effectLst/>
            </c:spPr>
            <c:extLst>
              <c:ext xmlns:c16="http://schemas.microsoft.com/office/drawing/2014/chart" uri="{C3380CC4-5D6E-409C-BE32-E72D297353CC}">
                <c16:uniqueId val="{000000BC-AE09-4A4B-A92A-7737239F1F4D}"/>
              </c:ext>
            </c:extLst>
          </c:dPt>
          <c:dLbls>
            <c:spPr>
              <a:no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Sheet1!$A$2:$A$48</c:f>
              <c:strCache>
                <c:ptCount val="12"/>
                <c:pt idx="0">
                  <c:v>Alcoholic liver disease                            </c:v>
                </c:pt>
                <c:pt idx="1">
                  <c:v>Drug overdose</c:v>
                </c:pt>
                <c:pt idx="2">
                  <c:v>Liver cirrhosis, unspecified                     </c:v>
                </c:pt>
                <c:pt idx="3">
                  <c:v>Motor-vehicle traffic crashes                      </c:v>
                </c:pt>
                <c:pt idx="4">
                  <c:v>Alcohol abuse         </c:v>
                </c:pt>
                <c:pt idx="5">
                  <c:v>Fall injuries                                      </c:v>
                </c:pt>
                <c:pt idx="6">
                  <c:v>Suicide                                            </c:v>
                </c:pt>
                <c:pt idx="7">
                  <c:v>Homicide                                           </c:v>
                </c:pt>
                <c:pt idx="8">
                  <c:v>Alcohol dependence     </c:v>
                </c:pt>
                <c:pt idx="9">
                  <c:v>Alcohol poisoning                                  </c:v>
                </c:pt>
                <c:pt idx="10">
                  <c:v>Liver cancer                                       </c:v>
                </c:pt>
                <c:pt idx="11">
                  <c:v>Other</c:v>
                </c:pt>
              </c:strCache>
            </c:strRef>
          </c:cat>
          <c:val>
            <c:numRef>
              <c:f>Sheet1!$C$2:$C$48</c:f>
              <c:numCache>
                <c:formatCode>General</c:formatCode>
                <c:ptCount val="47"/>
              </c:numCache>
            </c:numRef>
          </c:val>
          <c:extLst>
            <c:ext xmlns:c16="http://schemas.microsoft.com/office/drawing/2014/chart" uri="{C3380CC4-5D6E-409C-BE32-E72D297353CC}">
              <c16:uniqueId val="{000000BD-AE09-4A4B-A92A-7737239F1F4D}"/>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800">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366C-25BF-4482-BC1D-2483170B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Werwath</dc:creator>
  <cp:keywords/>
  <dc:description/>
  <cp:lastModifiedBy>Tim Werwath</cp:lastModifiedBy>
  <cp:revision>15</cp:revision>
  <cp:lastPrinted>2017-05-17T16:11:00Z</cp:lastPrinted>
  <dcterms:created xsi:type="dcterms:W3CDTF">2017-06-13T18:25:00Z</dcterms:created>
  <dcterms:modified xsi:type="dcterms:W3CDTF">2018-02-26T17:40:00Z</dcterms:modified>
</cp:coreProperties>
</file>